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7B46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427BA06">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704401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65.020.99</w:t>
            </w:r>
            <w:r>
              <w:rPr>
                <w:rFonts w:ascii="黑体" w:hAnsi="黑体" w:eastAsia="黑体"/>
                <w:sz w:val="21"/>
                <w:szCs w:val="21"/>
              </w:rPr>
              <w:fldChar w:fldCharType="end"/>
            </w:r>
            <w:bookmarkEnd w:id="0"/>
          </w:p>
        </w:tc>
      </w:tr>
      <w:tr w14:paraId="4A677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EF1E50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B73A68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B16</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B910B8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9E98F5A">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14:paraId="218AA9B2">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8FF2665">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T799</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54D1F049">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代替 DB14/T</w:t>
      </w:r>
      <w:r>
        <w:rPr>
          <w:rFonts w:hint="eastAsia" w:hAnsi="黑体"/>
          <w:lang w:val="en-US" w:eastAsia="zh-CN"/>
        </w:rPr>
        <w:t>7</w:t>
      </w:r>
      <w:r>
        <w:rPr>
          <w:rFonts w:hAnsi="黑体"/>
        </w:rPr>
        <w:t>99-2013</w:t>
      </w:r>
      <w:r>
        <w:rPr>
          <w:rFonts w:hAnsi="黑体"/>
        </w:rPr>
        <w:fldChar w:fldCharType="end"/>
      </w:r>
      <w:bookmarkEnd w:id="8"/>
    </w:p>
    <w:p w14:paraId="12DE11B6">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C0CABC1">
      <w:pPr>
        <w:pStyle w:val="50"/>
        <w:framePr w:w="9639" w:h="6976" w:hRule="exact" w:hSpace="0" w:vSpace="0" w:wrap="around" w:hAnchor="page" w:y="6408"/>
        <w:jc w:val="center"/>
        <w:rPr>
          <w:rFonts w:ascii="黑体" w:hAnsi="黑体" w:eastAsia="黑体"/>
          <w:b w:val="0"/>
          <w:bCs w:val="0"/>
          <w:w w:val="100"/>
        </w:rPr>
      </w:pPr>
    </w:p>
    <w:p w14:paraId="49122974">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98" w:name="_GoBack"/>
      <w:r>
        <w:t>苹果</w:t>
      </w:r>
      <w:bookmarkEnd w:id="98"/>
      <w:r>
        <w:t>腐烂病综合防治技术规程</w:t>
      </w:r>
      <w:r>
        <w:fldChar w:fldCharType="end"/>
      </w:r>
      <w:bookmarkEnd w:id="9"/>
    </w:p>
    <w:p w14:paraId="63495DC6">
      <w:pPr>
        <w:framePr w:w="9639" w:h="6974" w:hRule="exact" w:wrap="around" w:vAnchor="page" w:hAnchor="page" w:x="1419" w:y="6408" w:anchorLock="1"/>
        <w:ind w:left="-1418"/>
      </w:pPr>
    </w:p>
    <w:p w14:paraId="3B55A197">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14:paraId="36B7ECD5">
      <w:pPr>
        <w:framePr w:w="9639" w:h="6974" w:hRule="exact" w:wrap="around" w:vAnchor="page" w:hAnchor="page" w:x="1419" w:y="6408" w:anchorLock="1"/>
        <w:spacing w:line="760" w:lineRule="exact"/>
        <w:ind w:left="-1418"/>
      </w:pPr>
    </w:p>
    <w:p w14:paraId="1D075743">
      <w:pPr>
        <w:pStyle w:val="125"/>
        <w:framePr w:w="9639" w:h="6974" w:hRule="exact" w:wrap="around" w:vAnchor="page" w:hAnchor="page" w:x="1419" w:y="6408" w:anchorLock="1"/>
        <w:textAlignment w:val="bottom"/>
        <w:rPr>
          <w:rFonts w:eastAsia="黑体"/>
          <w:szCs w:val="28"/>
        </w:rPr>
      </w:pPr>
    </w:p>
    <w:p w14:paraId="4E0AF25C">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6646B49">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014.10.18</w:t>
      </w:r>
      <w:r>
        <w:rPr>
          <w:rFonts w:hint="eastAsia"/>
          <w:sz w:val="21"/>
          <w:szCs w:val="28"/>
        </w:rPr>
        <w:t>）</w:t>
      </w:r>
      <w:r>
        <w:rPr>
          <w:sz w:val="21"/>
          <w:szCs w:val="28"/>
        </w:rPr>
        <w:fldChar w:fldCharType="end"/>
      </w:r>
      <w:bookmarkEnd w:id="12"/>
    </w:p>
    <w:p w14:paraId="0215BB66">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CA80226">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C4B6DA7">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79926FE">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B210E8F">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CABA4BC">
      <w:pPr>
        <w:pStyle w:val="91"/>
        <w:spacing w:after="468"/>
      </w:pPr>
      <w:bookmarkStart w:id="21" w:name="BookMark1"/>
      <w:r>
        <w:rPr>
          <w:rFonts w:hint="eastAsia"/>
          <w:spacing w:val="320"/>
        </w:rPr>
        <w:t>目</w:t>
      </w:r>
      <w:r>
        <w:rPr>
          <w:rFonts w:hint="eastAsia"/>
        </w:rPr>
        <w:t>次</w:t>
      </w:r>
    </w:p>
    <w:p w14:paraId="1118A820">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"_Toc181030395" </w:instrText>
      </w:r>
      <w:r>
        <w:fldChar w:fldCharType="separate"/>
      </w:r>
      <w:r>
        <w:rPr>
          <w:rStyle w:val="32"/>
        </w:rPr>
        <w:t>前言</w:t>
      </w:r>
      <w:r>
        <w:tab/>
      </w:r>
      <w:r>
        <w:fldChar w:fldCharType="begin"/>
      </w:r>
      <w:r>
        <w:instrText xml:space="preserve"> PAGEREF _Toc181030395 \h </w:instrText>
      </w:r>
      <w:r>
        <w:fldChar w:fldCharType="separate"/>
      </w:r>
      <w:r>
        <w:t>II</w:t>
      </w:r>
      <w:r>
        <w:fldChar w:fldCharType="end"/>
      </w:r>
      <w:r>
        <w:fldChar w:fldCharType="end"/>
      </w:r>
    </w:p>
    <w:p w14:paraId="113D5160">
      <w:pPr>
        <w:pStyle w:val="19"/>
        <w:tabs>
          <w:tab w:val="right" w:leader="dot" w:pos="9344"/>
        </w:tabs>
        <w:rPr>
          <w:rFonts w:asciiTheme="minorHAnsi" w:hAnsiTheme="minorHAnsi" w:eastAsiaTheme="minorEastAsia" w:cstheme="minorBidi"/>
          <w:szCs w:val="22"/>
        </w:rPr>
      </w:pPr>
      <w:r>
        <w:fldChar w:fldCharType="begin"/>
      </w:r>
      <w:r>
        <w:instrText xml:space="preserve"> HYPERLINK \l "_Toc181030396" </w:instrText>
      </w:r>
      <w:r>
        <w:fldChar w:fldCharType="separate"/>
      </w:r>
      <w:r>
        <w:rPr>
          <w:rStyle w:val="32"/>
        </w:rPr>
        <w:t>1  范围</w:t>
      </w:r>
      <w:r>
        <w:tab/>
      </w:r>
      <w:r>
        <w:fldChar w:fldCharType="begin"/>
      </w:r>
      <w:r>
        <w:instrText xml:space="preserve"> PAGEREF _Toc181030396 \h </w:instrText>
      </w:r>
      <w:r>
        <w:fldChar w:fldCharType="separate"/>
      </w:r>
      <w:r>
        <w:t>1</w:t>
      </w:r>
      <w:r>
        <w:fldChar w:fldCharType="end"/>
      </w:r>
      <w:r>
        <w:fldChar w:fldCharType="end"/>
      </w:r>
    </w:p>
    <w:p w14:paraId="213887DB">
      <w:pPr>
        <w:pStyle w:val="19"/>
        <w:tabs>
          <w:tab w:val="right" w:leader="dot" w:pos="9344"/>
        </w:tabs>
        <w:rPr>
          <w:rFonts w:asciiTheme="minorHAnsi" w:hAnsiTheme="minorHAnsi" w:eastAsiaTheme="minorEastAsia" w:cstheme="minorBidi"/>
          <w:szCs w:val="22"/>
        </w:rPr>
      </w:pPr>
      <w:r>
        <w:fldChar w:fldCharType="begin"/>
      </w:r>
      <w:r>
        <w:instrText xml:space="preserve"> HYPERLINK \l "_Toc181030397" </w:instrText>
      </w:r>
      <w:r>
        <w:fldChar w:fldCharType="separate"/>
      </w:r>
      <w:r>
        <w:rPr>
          <w:rStyle w:val="32"/>
        </w:rPr>
        <w:t>2  规范性引用文件</w:t>
      </w:r>
      <w:r>
        <w:tab/>
      </w:r>
      <w:r>
        <w:fldChar w:fldCharType="begin"/>
      </w:r>
      <w:r>
        <w:instrText xml:space="preserve"> PAGEREF _Toc181030397 \h </w:instrText>
      </w:r>
      <w:r>
        <w:fldChar w:fldCharType="separate"/>
      </w:r>
      <w:r>
        <w:t>1</w:t>
      </w:r>
      <w:r>
        <w:fldChar w:fldCharType="end"/>
      </w:r>
      <w:r>
        <w:fldChar w:fldCharType="end"/>
      </w:r>
    </w:p>
    <w:p w14:paraId="7A955D36">
      <w:pPr>
        <w:pStyle w:val="19"/>
        <w:tabs>
          <w:tab w:val="right" w:leader="dot" w:pos="9344"/>
        </w:tabs>
        <w:rPr>
          <w:rFonts w:asciiTheme="minorHAnsi" w:hAnsiTheme="minorHAnsi" w:eastAsiaTheme="minorEastAsia" w:cstheme="minorBidi"/>
          <w:szCs w:val="22"/>
        </w:rPr>
      </w:pPr>
      <w:r>
        <w:fldChar w:fldCharType="begin"/>
      </w:r>
      <w:r>
        <w:instrText xml:space="preserve"> HYPERLINK \l "_Toc181030398" </w:instrText>
      </w:r>
      <w:r>
        <w:fldChar w:fldCharType="separate"/>
      </w:r>
      <w:r>
        <w:rPr>
          <w:rStyle w:val="32"/>
        </w:rPr>
        <w:t>3  术语和定义</w:t>
      </w:r>
      <w:r>
        <w:tab/>
      </w:r>
      <w:r>
        <w:fldChar w:fldCharType="begin"/>
      </w:r>
      <w:r>
        <w:instrText xml:space="preserve"> PAGEREF _Toc181030398 \h </w:instrText>
      </w:r>
      <w:r>
        <w:fldChar w:fldCharType="separate"/>
      </w:r>
      <w:r>
        <w:t>1</w:t>
      </w:r>
      <w:r>
        <w:fldChar w:fldCharType="end"/>
      </w:r>
      <w:r>
        <w:fldChar w:fldCharType="end"/>
      </w:r>
    </w:p>
    <w:p w14:paraId="4190FB99">
      <w:pPr>
        <w:pStyle w:val="19"/>
        <w:tabs>
          <w:tab w:val="right" w:leader="dot" w:pos="9344"/>
        </w:tabs>
        <w:rPr>
          <w:rFonts w:asciiTheme="minorHAnsi" w:hAnsiTheme="minorHAnsi" w:eastAsiaTheme="minorEastAsia" w:cstheme="minorBidi"/>
          <w:szCs w:val="22"/>
        </w:rPr>
      </w:pPr>
      <w:r>
        <w:fldChar w:fldCharType="begin"/>
      </w:r>
      <w:r>
        <w:instrText xml:space="preserve"> HYPERLINK \l "_Toc181030399" </w:instrText>
      </w:r>
      <w:r>
        <w:fldChar w:fldCharType="separate"/>
      </w:r>
      <w:r>
        <w:rPr>
          <w:rStyle w:val="32"/>
        </w:rPr>
        <w:t>4  发病症状</w:t>
      </w:r>
      <w:r>
        <w:tab/>
      </w:r>
      <w:r>
        <w:fldChar w:fldCharType="begin"/>
      </w:r>
      <w:r>
        <w:instrText xml:space="preserve"> PAGEREF _Toc181030399 \h </w:instrText>
      </w:r>
      <w:r>
        <w:fldChar w:fldCharType="separate"/>
      </w:r>
      <w:r>
        <w:t>1</w:t>
      </w:r>
      <w:r>
        <w:fldChar w:fldCharType="end"/>
      </w:r>
      <w:r>
        <w:fldChar w:fldCharType="end"/>
      </w:r>
    </w:p>
    <w:p w14:paraId="01FD900A">
      <w:pPr>
        <w:pStyle w:val="19"/>
        <w:tabs>
          <w:tab w:val="right" w:leader="dot" w:pos="9344"/>
        </w:tabs>
        <w:rPr>
          <w:rFonts w:asciiTheme="minorHAnsi" w:hAnsiTheme="minorHAnsi" w:eastAsiaTheme="minorEastAsia" w:cstheme="minorBidi"/>
          <w:szCs w:val="22"/>
        </w:rPr>
      </w:pPr>
      <w:r>
        <w:fldChar w:fldCharType="begin"/>
      </w:r>
      <w:r>
        <w:instrText xml:space="preserve"> HYPERLINK \l "_Toc181030400" </w:instrText>
      </w:r>
      <w:r>
        <w:fldChar w:fldCharType="separate"/>
      </w:r>
      <w:r>
        <w:rPr>
          <w:rStyle w:val="32"/>
        </w:rPr>
        <w:t>5  发病规律</w:t>
      </w:r>
      <w:r>
        <w:tab/>
      </w:r>
      <w:r>
        <w:fldChar w:fldCharType="begin"/>
      </w:r>
      <w:r>
        <w:instrText xml:space="preserve"> PAGEREF _Toc181030400 \h </w:instrText>
      </w:r>
      <w:r>
        <w:fldChar w:fldCharType="separate"/>
      </w:r>
      <w:r>
        <w:t>1</w:t>
      </w:r>
      <w:r>
        <w:fldChar w:fldCharType="end"/>
      </w:r>
      <w:r>
        <w:fldChar w:fldCharType="end"/>
      </w:r>
    </w:p>
    <w:p w14:paraId="758B901B">
      <w:pPr>
        <w:pStyle w:val="19"/>
        <w:tabs>
          <w:tab w:val="right" w:leader="dot" w:pos="9344"/>
        </w:tabs>
        <w:rPr>
          <w:rFonts w:asciiTheme="minorHAnsi" w:hAnsiTheme="minorHAnsi" w:eastAsiaTheme="minorEastAsia" w:cstheme="minorBidi"/>
          <w:szCs w:val="22"/>
        </w:rPr>
      </w:pPr>
      <w:r>
        <w:fldChar w:fldCharType="begin"/>
      </w:r>
      <w:r>
        <w:instrText xml:space="preserve"> HYPERLINK \l "_Toc181030401" </w:instrText>
      </w:r>
      <w:r>
        <w:fldChar w:fldCharType="separate"/>
      </w:r>
      <w:r>
        <w:rPr>
          <w:rStyle w:val="32"/>
        </w:rPr>
        <w:t>6  防治技术</w:t>
      </w:r>
      <w:r>
        <w:tab/>
      </w:r>
      <w:r>
        <w:fldChar w:fldCharType="begin"/>
      </w:r>
      <w:r>
        <w:instrText xml:space="preserve"> PAGEREF _Toc181030401 \h </w:instrText>
      </w:r>
      <w:r>
        <w:fldChar w:fldCharType="separate"/>
      </w:r>
      <w:r>
        <w:t>1</w:t>
      </w:r>
      <w:r>
        <w:fldChar w:fldCharType="end"/>
      </w:r>
      <w:r>
        <w:fldChar w:fldCharType="end"/>
      </w:r>
    </w:p>
    <w:p w14:paraId="7D5B3C24">
      <w:pPr>
        <w:pStyle w:val="19"/>
        <w:tabs>
          <w:tab w:val="right" w:leader="dot" w:pos="9344"/>
        </w:tabs>
        <w:rPr>
          <w:rFonts w:asciiTheme="minorHAnsi" w:hAnsiTheme="minorHAnsi" w:eastAsiaTheme="minorEastAsia" w:cstheme="minorBidi"/>
          <w:szCs w:val="22"/>
        </w:rPr>
      </w:pPr>
      <w:r>
        <w:fldChar w:fldCharType="begin"/>
      </w:r>
      <w:r>
        <w:instrText xml:space="preserve"> HYPERLINK \l "_Toc181030407" </w:instrText>
      </w:r>
      <w:r>
        <w:fldChar w:fldCharType="separate"/>
      </w:r>
      <w:r>
        <w:rPr>
          <w:rStyle w:val="32"/>
        </w:rPr>
        <w:t>7  防治档案</w:t>
      </w:r>
      <w:r>
        <w:tab/>
      </w:r>
      <w:r>
        <w:fldChar w:fldCharType="begin"/>
      </w:r>
      <w:r>
        <w:instrText xml:space="preserve"> PAGEREF _Toc181030407 \h </w:instrText>
      </w:r>
      <w:r>
        <w:fldChar w:fldCharType="separate"/>
      </w:r>
      <w:r>
        <w:t>3</w:t>
      </w:r>
      <w:r>
        <w:fldChar w:fldCharType="end"/>
      </w:r>
      <w:r>
        <w:fldChar w:fldCharType="end"/>
      </w:r>
    </w:p>
    <w:p w14:paraId="2E264DB7">
      <w:pPr>
        <w:pStyle w:val="19"/>
        <w:tabs>
          <w:tab w:val="right" w:leader="dot" w:pos="9344"/>
        </w:tabs>
        <w:rPr>
          <w:rFonts w:asciiTheme="minorHAnsi" w:hAnsiTheme="minorHAnsi" w:eastAsiaTheme="minorEastAsia" w:cstheme="minorBidi"/>
          <w:szCs w:val="22"/>
        </w:rPr>
      </w:pPr>
      <w:r>
        <w:fldChar w:fldCharType="begin"/>
      </w:r>
      <w:r>
        <w:instrText xml:space="preserve"> HYPERLINK \l "_Toc181030408" </w:instrText>
      </w:r>
      <w:r>
        <w:fldChar w:fldCharType="separate"/>
      </w:r>
      <w:r>
        <w:rPr>
          <w:rStyle w:val="32"/>
        </w:rPr>
        <w:t>附录A（资料性）  防治档案</w:t>
      </w:r>
      <w:r>
        <w:tab/>
      </w:r>
      <w:r>
        <w:fldChar w:fldCharType="begin"/>
      </w:r>
      <w:r>
        <w:instrText xml:space="preserve"> PAGEREF _Toc181030408 \h </w:instrText>
      </w:r>
      <w:r>
        <w:fldChar w:fldCharType="separate"/>
      </w:r>
      <w:r>
        <w:t>4</w:t>
      </w:r>
      <w:r>
        <w:fldChar w:fldCharType="end"/>
      </w:r>
      <w:r>
        <w:fldChar w:fldCharType="end"/>
      </w:r>
    </w:p>
    <w:p w14:paraId="0C9B71C2">
      <w:pPr>
        <w:pStyle w:val="91"/>
        <w:spacing w:after="468"/>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14:paraId="431AB9EB">
      <w:pPr>
        <w:pStyle w:val="89"/>
        <w:spacing w:after="468"/>
      </w:pPr>
      <w:bookmarkStart w:id="22" w:name="_Toc181030395"/>
      <w:bookmarkStart w:id="23" w:name="BookMark2"/>
      <w:r>
        <w:rPr>
          <w:spacing w:val="320"/>
        </w:rPr>
        <w:t>前</w:t>
      </w:r>
      <w:r>
        <w:t>言</w:t>
      </w:r>
      <w:bookmarkEnd w:id="22"/>
    </w:p>
    <w:p w14:paraId="6DDA02A2">
      <w:pPr>
        <w:pStyle w:val="56"/>
        <w:ind w:firstLine="420"/>
      </w:pPr>
      <w:r>
        <w:rPr>
          <w:rFonts w:hint="eastAsia"/>
        </w:rPr>
        <w:t>本文件按照GB/T 1.1—2020《标准化工作导则  第1部分：标准化文件的结构和起草规则》的规定起草。</w:t>
      </w:r>
    </w:p>
    <w:p w14:paraId="7E2F514D">
      <w:pPr>
        <w:pStyle w:val="56"/>
        <w:ind w:firstLine="420"/>
      </w:pPr>
      <w:r>
        <w:rPr>
          <w:rFonts w:hint="eastAsia"/>
        </w:rPr>
        <w:t>本文件代替DB14/T 799—2013《苹果树腐烂病防治技术规程》，与DB14/T 799—2013相比，除结构调整和编辑性改动外，主要技术变化如下:</w:t>
      </w:r>
    </w:p>
    <w:p w14:paraId="49FBD09C">
      <w:pPr>
        <w:pStyle w:val="56"/>
        <w:ind w:firstLine="420"/>
      </w:pPr>
      <w:r>
        <w:rPr>
          <w:rFonts w:hint="eastAsia"/>
        </w:rPr>
        <w:t>——增加了防治原则的规定（见6.1）；</w:t>
      </w:r>
    </w:p>
    <w:p w14:paraId="72DBF12F">
      <w:pPr>
        <w:pStyle w:val="56"/>
        <w:ind w:firstLine="420"/>
      </w:pPr>
      <w:r>
        <w:rPr>
          <w:rFonts w:hint="eastAsia"/>
        </w:rPr>
        <w:t>——增加了防治早期落叶病虫害及合理栽培模式，见（6.2.2 （6）、（7））；</w:t>
      </w:r>
    </w:p>
    <w:p w14:paraId="300FF52A">
      <w:pPr>
        <w:pStyle w:val="56"/>
        <w:ind w:firstLine="420"/>
      </w:pPr>
      <w:r>
        <w:rPr>
          <w:rFonts w:hint="eastAsia"/>
        </w:rPr>
        <w:t>——增加了物理防治的规定（见6.3）；</w:t>
      </w:r>
    </w:p>
    <w:p w14:paraId="671FA45A">
      <w:pPr>
        <w:pStyle w:val="56"/>
        <w:ind w:firstLine="420"/>
      </w:pPr>
      <w:r>
        <w:rPr>
          <w:rFonts w:hint="eastAsia"/>
        </w:rPr>
        <w:t>——增加了生物防治的规定（见6.4）；</w:t>
      </w:r>
    </w:p>
    <w:p w14:paraId="75E70FCE">
      <w:pPr>
        <w:pStyle w:val="56"/>
        <w:ind w:firstLine="420"/>
      </w:pPr>
      <w:r>
        <w:rPr>
          <w:rFonts w:hint="eastAsia"/>
        </w:rPr>
        <w:t>——增加了药剂选择原则的规定（见6.5.1）；</w:t>
      </w:r>
    </w:p>
    <w:p w14:paraId="09BB20C2">
      <w:pPr>
        <w:pStyle w:val="56"/>
        <w:ind w:firstLine="420"/>
      </w:pPr>
      <w:r>
        <w:rPr>
          <w:rFonts w:hint="eastAsia"/>
        </w:rPr>
        <w:t>——增加了防治档案的规定（见7）；</w:t>
      </w:r>
    </w:p>
    <w:p w14:paraId="0DBAE7B7">
      <w:pPr>
        <w:pStyle w:val="56"/>
        <w:ind w:firstLine="420"/>
      </w:pPr>
      <w:r>
        <w:rPr>
          <w:rFonts w:hint="eastAsia"/>
        </w:rPr>
        <w:t>——更改了加强栽培管理的规定（见6.2.2）；</w:t>
      </w:r>
    </w:p>
    <w:p w14:paraId="10FB86BB">
      <w:pPr>
        <w:pStyle w:val="56"/>
        <w:ind w:firstLine="420"/>
      </w:pPr>
      <w:r>
        <w:rPr>
          <w:rFonts w:hint="eastAsia"/>
        </w:rPr>
        <w:t>——更改了树干涂白的规定（见6.3.1）；</w:t>
      </w:r>
    </w:p>
    <w:p w14:paraId="0CF64200">
      <w:pPr>
        <w:pStyle w:val="56"/>
        <w:ind w:firstLine="420"/>
      </w:pPr>
      <w:r>
        <w:rPr>
          <w:rFonts w:hint="eastAsia"/>
        </w:rPr>
        <w:t>——更改了休眠期喷药的条标题和规定（见6.5.2）；</w:t>
      </w:r>
    </w:p>
    <w:p w14:paraId="5EA0FA42">
      <w:pPr>
        <w:pStyle w:val="56"/>
        <w:ind w:firstLine="420"/>
      </w:pPr>
      <w:r>
        <w:rPr>
          <w:rFonts w:hint="eastAsia"/>
        </w:rPr>
        <w:t>——更改了病斑治疗的规定（见6.5.3）；</w:t>
      </w:r>
    </w:p>
    <w:p w14:paraId="12839251">
      <w:pPr>
        <w:pStyle w:val="56"/>
        <w:ind w:firstLine="420"/>
      </w:pPr>
      <w:r>
        <w:rPr>
          <w:rFonts w:hint="eastAsia"/>
        </w:rPr>
        <w:t>——删除了苹果</w:t>
      </w:r>
      <w:r>
        <w:rPr>
          <w:rFonts w:hint="eastAsia"/>
          <w:lang w:eastAsia="zh-CN"/>
        </w:rPr>
        <w:t>树</w:t>
      </w:r>
      <w:r>
        <w:rPr>
          <w:rFonts w:hint="eastAsia"/>
        </w:rPr>
        <w:t>腐烂病的定义（见3）。</w:t>
      </w:r>
    </w:p>
    <w:p w14:paraId="3238C10B">
      <w:pPr>
        <w:pStyle w:val="56"/>
        <w:ind w:firstLine="420"/>
      </w:pPr>
      <w:r>
        <w:rPr>
          <w:rFonts w:hint="eastAsia"/>
        </w:rPr>
        <w:t>本文件由山西省农业农村厅提出、组织实施和监督检查。</w:t>
      </w:r>
    </w:p>
    <w:p w14:paraId="51467A96">
      <w:pPr>
        <w:pStyle w:val="56"/>
        <w:ind w:firstLine="420"/>
      </w:pPr>
      <w:r>
        <w:rPr>
          <w:rFonts w:hint="eastAsia"/>
        </w:rPr>
        <w:t>本文件由山西省市场监督管理局对标准的组织实施情况进行监督检查。</w:t>
      </w:r>
    </w:p>
    <w:p w14:paraId="7DEF19EA">
      <w:pPr>
        <w:pStyle w:val="56"/>
        <w:ind w:firstLine="420"/>
      </w:pPr>
      <w:r>
        <w:rPr>
          <w:rFonts w:hint="eastAsia"/>
        </w:rPr>
        <w:t>本文件由山西省农业标准化技术委员会（SXS/TC19)归口。</w:t>
      </w:r>
    </w:p>
    <w:p w14:paraId="0B443576">
      <w:pPr>
        <w:pStyle w:val="56"/>
        <w:ind w:firstLine="420"/>
      </w:pPr>
      <w:r>
        <w:rPr>
          <w:rFonts w:hint="eastAsia"/>
        </w:rPr>
        <w:t>本文件起草单位：山西农业大学。</w:t>
      </w:r>
    </w:p>
    <w:p w14:paraId="273B06DA">
      <w:pPr>
        <w:pStyle w:val="56"/>
        <w:ind w:firstLine="420"/>
      </w:pPr>
      <w:r>
        <w:rPr>
          <w:rFonts w:hint="eastAsia"/>
        </w:rPr>
        <w:t>本文件主要起草人：冀佳悦 赵龙龙 胡增丽 刘朝红 黄军保 邢鲲。</w:t>
      </w:r>
    </w:p>
    <w:p w14:paraId="62DB97E4">
      <w:pPr>
        <w:pStyle w:val="56"/>
        <w:ind w:firstLine="420"/>
      </w:pPr>
      <w:r>
        <w:rPr>
          <w:rFonts w:hint="eastAsia"/>
        </w:rPr>
        <w:t>本文件及其所代替文件的历次版本发布情况为：</w:t>
      </w:r>
    </w:p>
    <w:p w14:paraId="5E476C24">
      <w:pPr>
        <w:pStyle w:val="56"/>
        <w:ind w:firstLine="420"/>
      </w:pPr>
      <w:r>
        <w:rPr>
          <w:rFonts w:hint="eastAsia"/>
        </w:rPr>
        <w:t>——2013年首次发布为DB14/T799—2013；</w:t>
      </w:r>
    </w:p>
    <w:p w14:paraId="11DFA5DA">
      <w:pPr>
        <w:pStyle w:val="56"/>
        <w:ind w:firstLine="420"/>
      </w:pPr>
      <w:r>
        <w:rPr>
          <w:rFonts w:hint="eastAsia"/>
        </w:rPr>
        <w:t>——本次为第一次修订。</w:t>
      </w:r>
    </w:p>
    <w:p w14:paraId="6785587C">
      <w:pPr>
        <w:pStyle w:val="56"/>
        <w:ind w:firstLine="420"/>
      </w:pPr>
    </w:p>
    <w:p w14:paraId="15F7E636">
      <w:pPr>
        <w:pStyle w:val="56"/>
        <w:ind w:firstLine="420"/>
        <w:sectPr>
          <w:pgSz w:w="11906" w:h="16838"/>
          <w:pgMar w:top="567" w:right="1134" w:bottom="1134" w:left="1134" w:header="1418" w:footer="1134" w:gutter="284"/>
          <w:pgNumType w:fmt="upperRoman"/>
          <w:cols w:space="425" w:num="1"/>
          <w:formProt w:val="0"/>
          <w:docGrid w:type="lines" w:linePitch="312" w:charSpace="0"/>
        </w:sectPr>
      </w:pPr>
    </w:p>
    <w:bookmarkEnd w:id="23"/>
    <w:p w14:paraId="1814142A">
      <w:pPr>
        <w:spacing w:line="20" w:lineRule="exact"/>
        <w:jc w:val="center"/>
        <w:rPr>
          <w:rFonts w:ascii="黑体" w:hAnsi="黑体" w:eastAsia="黑体"/>
          <w:sz w:val="32"/>
          <w:szCs w:val="32"/>
        </w:rPr>
      </w:pPr>
      <w:bookmarkStart w:id="24" w:name="BookMark4"/>
    </w:p>
    <w:p w14:paraId="4D21FF04">
      <w:pPr>
        <w:spacing w:line="20" w:lineRule="exact"/>
        <w:jc w:val="center"/>
        <w:rPr>
          <w:rFonts w:ascii="黑体" w:hAnsi="黑体" w:eastAsia="黑体"/>
          <w:sz w:val="32"/>
          <w:szCs w:val="32"/>
        </w:rPr>
      </w:pPr>
    </w:p>
    <w:sdt>
      <w:sdtPr>
        <w:tag w:val="NEW_STAND_NAME"/>
        <w:id w:val="595910757"/>
        <w:lock w:val="sdtLocked"/>
        <w:placeholder>
          <w:docPart w:val="D4C3D33C05F244D59ACE727C12C523EB"/>
        </w:placeholder>
      </w:sdtPr>
      <w:sdtContent>
        <w:p w14:paraId="332A061B">
          <w:pPr>
            <w:pStyle w:val="177"/>
            <w:spacing w:before="567" w:beforeLines="182" w:after="686" w:afterLines="220"/>
          </w:pPr>
          <w:bookmarkStart w:id="25" w:name="NEW_STAND_NAME"/>
          <w:r>
            <w:rPr>
              <w:rFonts w:hint="eastAsia"/>
            </w:rPr>
            <w:t>苹果腐烂病综合防治技术规程</w:t>
          </w:r>
        </w:p>
      </w:sdtContent>
    </w:sdt>
    <w:bookmarkEnd w:id="25"/>
    <w:p w14:paraId="5AC8561D">
      <w:pPr>
        <w:pStyle w:val="104"/>
        <w:spacing w:before="312" w:after="312"/>
      </w:pPr>
      <w:bookmarkStart w:id="26" w:name="_Toc26718930"/>
      <w:bookmarkStart w:id="27" w:name="_Toc24884218"/>
      <w:bookmarkStart w:id="28" w:name="_Toc26986771"/>
      <w:bookmarkStart w:id="29" w:name="_Toc24884211"/>
      <w:bookmarkStart w:id="30" w:name="_Toc17233333"/>
      <w:bookmarkStart w:id="31" w:name="_Toc17233325"/>
      <w:bookmarkStart w:id="32" w:name="_Toc26648465"/>
      <w:bookmarkStart w:id="33" w:name="_Toc181030396"/>
      <w:bookmarkStart w:id="34" w:name="_Toc26986530"/>
      <w:r>
        <w:rPr>
          <w:rFonts w:hint="eastAsia"/>
        </w:rPr>
        <w:t>范围</w:t>
      </w:r>
      <w:bookmarkEnd w:id="26"/>
      <w:bookmarkEnd w:id="27"/>
      <w:bookmarkEnd w:id="28"/>
      <w:bookmarkEnd w:id="29"/>
      <w:bookmarkEnd w:id="30"/>
      <w:bookmarkEnd w:id="31"/>
      <w:bookmarkEnd w:id="32"/>
      <w:bookmarkEnd w:id="33"/>
      <w:bookmarkEnd w:id="34"/>
    </w:p>
    <w:p w14:paraId="29412A21">
      <w:pPr>
        <w:pStyle w:val="56"/>
        <w:ind w:firstLine="420"/>
      </w:pPr>
      <w:bookmarkStart w:id="35" w:name="_Toc17233334"/>
      <w:bookmarkStart w:id="36" w:name="_Toc17233326"/>
      <w:bookmarkStart w:id="37" w:name="_Toc24884219"/>
      <w:bookmarkStart w:id="38" w:name="_Toc24884212"/>
      <w:bookmarkStart w:id="39" w:name="_Toc26648466"/>
      <w:r>
        <w:rPr>
          <w:rFonts w:hint="eastAsia"/>
        </w:rPr>
        <w:t>本文件规定了苹果腐烂病综合防治技术规程的发病症状、发病规律、防治技术等。</w:t>
      </w:r>
    </w:p>
    <w:p w14:paraId="53A5FBCE">
      <w:pPr>
        <w:pStyle w:val="56"/>
        <w:ind w:firstLine="420"/>
      </w:pPr>
      <w:r>
        <w:rPr>
          <w:rFonts w:hint="eastAsia"/>
        </w:rPr>
        <w:t>本文件适用于苹果生产中腐烂病的综合防治技术。</w:t>
      </w:r>
    </w:p>
    <w:p w14:paraId="3E5FE7D2">
      <w:pPr>
        <w:pStyle w:val="104"/>
        <w:spacing w:before="312" w:after="312"/>
      </w:pPr>
      <w:bookmarkStart w:id="40" w:name="_Toc181030397"/>
      <w:bookmarkStart w:id="41" w:name="_Toc26986772"/>
      <w:bookmarkStart w:id="42" w:name="_Toc26718931"/>
      <w:bookmarkStart w:id="43" w:name="_Toc26986531"/>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46C299BC4E3945089C0A27482C56889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216E65A">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AF409C2">
      <w:pPr>
        <w:pStyle w:val="56"/>
        <w:ind w:firstLine="420"/>
      </w:pPr>
      <w:r>
        <w:rPr>
          <w:rFonts w:hint="eastAsia"/>
        </w:rPr>
        <w:t>GB/T 8321（所有部分）农药合理使用准则</w:t>
      </w:r>
    </w:p>
    <w:p w14:paraId="2E2BBF4F">
      <w:pPr>
        <w:pStyle w:val="56"/>
        <w:ind w:firstLine="420"/>
      </w:pPr>
      <w:r>
        <w:rPr>
          <w:rFonts w:hint="eastAsia"/>
        </w:rPr>
        <w:t>NY/T 1276  农药安全使用规范总则</w:t>
      </w:r>
    </w:p>
    <w:p w14:paraId="32990B78">
      <w:pPr>
        <w:pStyle w:val="56"/>
        <w:ind w:firstLine="420"/>
      </w:pPr>
      <w:r>
        <w:rPr>
          <w:rFonts w:hint="eastAsia"/>
        </w:rPr>
        <w:t>NY/T 496 肥料合理使用准则 通则</w:t>
      </w:r>
    </w:p>
    <w:p w14:paraId="6C2B57A8">
      <w:pPr>
        <w:pStyle w:val="104"/>
        <w:spacing w:before="312" w:after="312"/>
      </w:pPr>
      <w:bookmarkStart w:id="44" w:name="_Toc181030398"/>
      <w:r>
        <w:rPr>
          <w:rFonts w:hint="eastAsia"/>
          <w:szCs w:val="21"/>
        </w:rPr>
        <w:t>术语和定义</w:t>
      </w:r>
      <w:bookmarkEnd w:id="44"/>
    </w:p>
    <w:sdt>
      <w:sdtPr>
        <w:id w:val="-1909835108"/>
        <w:placeholder>
          <w:docPart w:val="A8FEC7BA86114445BCE138C104AB3C1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447B60F">
          <w:pPr>
            <w:pStyle w:val="56"/>
            <w:ind w:firstLine="420"/>
          </w:pPr>
          <w:bookmarkStart w:id="45" w:name="_Toc26986532"/>
          <w:bookmarkEnd w:id="45"/>
          <w:r>
            <w:t>本文件没有需要界定的术语和定义。</w:t>
          </w:r>
        </w:p>
      </w:sdtContent>
    </w:sdt>
    <w:p w14:paraId="386F05AC">
      <w:pPr>
        <w:pStyle w:val="104"/>
        <w:spacing w:before="312" w:after="312"/>
      </w:pPr>
      <w:bookmarkStart w:id="46" w:name="_Toc181030399"/>
      <w:bookmarkStart w:id="47" w:name="_Toc155965626"/>
      <w:bookmarkStart w:id="48" w:name="_Toc371262588"/>
      <w:bookmarkStart w:id="49" w:name="_Toc371262386"/>
      <w:bookmarkStart w:id="50" w:name="_Toc180076486"/>
      <w:bookmarkStart w:id="51" w:name="_Toc180076467"/>
      <w:bookmarkStart w:id="52" w:name="_Toc371262453"/>
      <w:bookmarkStart w:id="53" w:name="_Toc180076456"/>
      <w:bookmarkStart w:id="54" w:name="_Toc371348533"/>
      <w:bookmarkStart w:id="55" w:name="_Toc371261858"/>
      <w:r>
        <w:rPr>
          <w:rFonts w:hint="eastAsia"/>
        </w:rPr>
        <w:t>发病症状</w:t>
      </w:r>
      <w:bookmarkEnd w:id="46"/>
      <w:bookmarkEnd w:id="47"/>
      <w:bookmarkEnd w:id="48"/>
      <w:bookmarkEnd w:id="49"/>
      <w:bookmarkEnd w:id="50"/>
      <w:bookmarkEnd w:id="51"/>
      <w:bookmarkEnd w:id="52"/>
      <w:bookmarkEnd w:id="53"/>
      <w:bookmarkEnd w:id="54"/>
      <w:bookmarkEnd w:id="55"/>
    </w:p>
    <w:p w14:paraId="0F95252E">
      <w:pPr>
        <w:pStyle w:val="56"/>
        <w:ind w:firstLine="420"/>
      </w:pPr>
      <w:r>
        <w:rPr>
          <w:rFonts w:hint="eastAsia"/>
        </w:rPr>
        <w:t>溃疡型：多发生在主干、主枝上，发病初期病部呈现红褐色水渍状凸起，组织松软，用手指按压，可流出褐色或黄褐色汁液，病皮组织腐朽成丝状，易于剥离，有酒糟味。发病后期，病部长出黑色小瘤状突起即分生孢子器，在降水或潮湿条件下，从分生孢子器顶端溢出橘黄色、卷须状的分生孢子角。</w:t>
      </w:r>
    </w:p>
    <w:p w14:paraId="56C1E839">
      <w:pPr>
        <w:pStyle w:val="56"/>
        <w:ind w:firstLine="420"/>
      </w:pPr>
      <w:r>
        <w:rPr>
          <w:rFonts w:hint="eastAsia"/>
        </w:rPr>
        <w:t>枝枯型：多发生在2-4年生的枝条上，在衰弱树上发生明显。病部呈红褐色，水渍状，但不变软，无酒糟味，形状不规则，没有明显的边缘，病部扩展迅速，全枝很快失水干枯死亡。后期病部表面也产生许多小黑点，遇湿溢出橘黄色孢子角。</w:t>
      </w:r>
    </w:p>
    <w:p w14:paraId="10B5D63B">
      <w:pPr>
        <w:pStyle w:val="104"/>
        <w:spacing w:before="312" w:after="312"/>
      </w:pPr>
      <w:bookmarkStart w:id="56" w:name="_Toc371262454"/>
      <w:bookmarkStart w:id="57" w:name="_Toc155965627"/>
      <w:bookmarkStart w:id="58" w:name="_Toc180076487"/>
      <w:bookmarkStart w:id="59" w:name="_Toc181030400"/>
      <w:bookmarkStart w:id="60" w:name="_Toc371261859"/>
      <w:bookmarkStart w:id="61" w:name="_Toc180076468"/>
      <w:bookmarkStart w:id="62" w:name="_Toc180076457"/>
      <w:bookmarkStart w:id="63" w:name="_Toc371262589"/>
      <w:bookmarkStart w:id="64" w:name="_Toc371262387"/>
      <w:bookmarkStart w:id="65" w:name="_Toc371348534"/>
      <w:r>
        <w:rPr>
          <w:rFonts w:hint="eastAsia"/>
        </w:rPr>
        <w:t>发病规律</w:t>
      </w:r>
      <w:bookmarkEnd w:id="56"/>
      <w:bookmarkEnd w:id="57"/>
      <w:bookmarkEnd w:id="58"/>
      <w:bookmarkEnd w:id="59"/>
      <w:bookmarkEnd w:id="60"/>
      <w:bookmarkEnd w:id="61"/>
      <w:bookmarkEnd w:id="62"/>
      <w:bookmarkEnd w:id="63"/>
      <w:bookmarkEnd w:id="64"/>
      <w:bookmarkEnd w:id="65"/>
    </w:p>
    <w:p w14:paraId="4E4E5262">
      <w:pPr>
        <w:pStyle w:val="236"/>
      </w:pPr>
      <w:r>
        <w:rPr>
          <w:rFonts w:hint="eastAsia"/>
        </w:rPr>
        <w:t>越冬：腐烂病菌以菌丝体、分生孢子器、分生孢子角及子囊壳在病树组织内越冬，病菌孢子主要靠雨水传播。</w:t>
      </w:r>
    </w:p>
    <w:p w14:paraId="5B01517B">
      <w:pPr>
        <w:pStyle w:val="236"/>
      </w:pPr>
      <w:r>
        <w:rPr>
          <w:rFonts w:hint="eastAsia"/>
        </w:rPr>
        <w:t>发病特点：腐烂病菌是一种弱寄生菌，具有潜伏侵染的特点。冻害、干旱、营养不良、管理粗放、伤口等导致树势衰弱的因素是苹果腐烂病发生的主要诱因，剪锯口及病斑是病原入侵的主要途径。病菌全年均可侵染，一年中有两次明显的病疤迅速扩展期，即春季</w:t>
      </w:r>
      <w:r>
        <w:t>3</w:t>
      </w:r>
      <w:r>
        <w:rPr>
          <w:rFonts w:hint="eastAsia"/>
        </w:rPr>
        <w:t>月～4月，秋季10月～</w:t>
      </w:r>
      <w:r>
        <w:t>1</w:t>
      </w:r>
      <w:r>
        <w:rPr>
          <w:rFonts w:hint="eastAsia"/>
        </w:rPr>
        <w:t>1月。</w:t>
      </w:r>
    </w:p>
    <w:p w14:paraId="75C6B4BD">
      <w:pPr>
        <w:pStyle w:val="104"/>
        <w:spacing w:before="312" w:after="312"/>
      </w:pPr>
      <w:bookmarkStart w:id="66" w:name="_Toc155965628"/>
      <w:bookmarkStart w:id="67" w:name="_Toc371261860"/>
      <w:bookmarkStart w:id="68" w:name="_Toc371262455"/>
      <w:bookmarkStart w:id="69" w:name="_Toc371262388"/>
      <w:bookmarkStart w:id="70" w:name="_Toc180076488"/>
      <w:bookmarkStart w:id="71" w:name="_Toc180076469"/>
      <w:bookmarkStart w:id="72" w:name="_Toc180076458"/>
      <w:bookmarkStart w:id="73" w:name="_Toc371348535"/>
      <w:bookmarkStart w:id="74" w:name="_Toc371262590"/>
      <w:bookmarkStart w:id="75" w:name="_Toc181030401"/>
      <w:r>
        <w:rPr>
          <w:rFonts w:hint="eastAsia"/>
        </w:rPr>
        <w:t>防治</w:t>
      </w:r>
      <w:bookmarkEnd w:id="66"/>
      <w:bookmarkEnd w:id="67"/>
      <w:bookmarkEnd w:id="68"/>
      <w:bookmarkEnd w:id="69"/>
      <w:bookmarkEnd w:id="70"/>
      <w:bookmarkEnd w:id="71"/>
      <w:bookmarkEnd w:id="72"/>
      <w:bookmarkEnd w:id="73"/>
      <w:bookmarkEnd w:id="74"/>
      <w:r>
        <w:rPr>
          <w:rFonts w:hint="eastAsia"/>
        </w:rPr>
        <w:t>技术</w:t>
      </w:r>
      <w:bookmarkEnd w:id="75"/>
    </w:p>
    <w:p w14:paraId="60DA4969">
      <w:pPr>
        <w:pStyle w:val="105"/>
        <w:spacing w:before="156" w:after="156"/>
      </w:pPr>
      <w:bookmarkStart w:id="76" w:name="_Toc181030402"/>
      <w:bookmarkStart w:id="77" w:name="_Toc180076459"/>
      <w:bookmarkStart w:id="78" w:name="_Toc371261861"/>
      <w:bookmarkStart w:id="79" w:name="_Toc371262456"/>
      <w:bookmarkStart w:id="80" w:name="_Toc371262591"/>
      <w:bookmarkStart w:id="81" w:name="_Toc371262389"/>
      <w:r>
        <w:rPr>
          <w:rFonts w:hint="eastAsia"/>
        </w:rPr>
        <w:t>防治原则</w:t>
      </w:r>
      <w:bookmarkEnd w:id="76"/>
    </w:p>
    <w:p w14:paraId="683AC623">
      <w:pPr>
        <w:pStyle w:val="236"/>
      </w:pPr>
      <w:r>
        <w:rPr>
          <w:rFonts w:hint="eastAsia"/>
        </w:rPr>
        <w:t>坚持“预防为主，综合防治”方针，树立“公共植保、绿色植保”理念，本着安全、有效、经济、简便的原则，以农业防治为基础，优先选用物理防治和生物防治措施，科学使用化学防治手段，实现减药控害。</w:t>
      </w:r>
    </w:p>
    <w:p w14:paraId="12C00C3D">
      <w:pPr>
        <w:pStyle w:val="105"/>
        <w:spacing w:before="156" w:after="156"/>
      </w:pPr>
      <w:bookmarkStart w:id="82" w:name="_Toc181030403"/>
      <w:r>
        <w:rPr>
          <w:rFonts w:hint="eastAsia"/>
        </w:rPr>
        <w:t>农业防治</w:t>
      </w:r>
      <w:bookmarkEnd w:id="77"/>
      <w:bookmarkEnd w:id="78"/>
      <w:bookmarkEnd w:id="79"/>
      <w:bookmarkEnd w:id="80"/>
      <w:bookmarkEnd w:id="81"/>
      <w:bookmarkEnd w:id="82"/>
    </w:p>
    <w:p w14:paraId="465DD93D">
      <w:pPr>
        <w:pStyle w:val="65"/>
        <w:spacing w:before="156" w:after="156"/>
      </w:pPr>
      <w:r>
        <w:rPr>
          <w:rFonts w:hint="eastAsia"/>
        </w:rPr>
        <w:t>清理果园</w:t>
      </w:r>
    </w:p>
    <w:p w14:paraId="11873977">
      <w:pPr>
        <w:pStyle w:val="236"/>
      </w:pPr>
      <w:r>
        <w:rPr>
          <w:rFonts w:hint="eastAsia"/>
        </w:rPr>
        <w:t>休眠期清理果园，清除枯死枝干、病枝、病皮，集中销毁或深埋,减少病菌的越冬基数。</w:t>
      </w:r>
    </w:p>
    <w:p w14:paraId="697CD751">
      <w:pPr>
        <w:pStyle w:val="65"/>
        <w:spacing w:before="156" w:after="156"/>
      </w:pPr>
      <w:r>
        <w:rPr>
          <w:rFonts w:hint="eastAsia"/>
        </w:rPr>
        <w:t>加强栽培管理</w:t>
      </w:r>
    </w:p>
    <w:p w14:paraId="0C06FA3A">
      <w:pPr>
        <w:pStyle w:val="236"/>
      </w:pPr>
      <w:r>
        <w:rPr>
          <w:rFonts w:hint="eastAsia"/>
        </w:rPr>
        <w:t>（1）施足农家肥或商品有机肥，农家肥每年应施入3000kg～5000kg/667m</w:t>
      </w:r>
      <w:r>
        <w:rPr>
          <w:rFonts w:hint="eastAsia"/>
          <w:vertAlign w:val="superscript"/>
        </w:rPr>
        <w:t>2</w:t>
      </w:r>
      <w:r>
        <w:rPr>
          <w:rFonts w:hint="eastAsia"/>
        </w:rPr>
        <w:t>，果树专用复合肥可作为追肥600kg～1000kg/667m</w:t>
      </w:r>
      <w:r>
        <w:rPr>
          <w:rFonts w:hint="eastAsia"/>
          <w:vertAlign w:val="superscript"/>
        </w:rPr>
        <w:t>2</w:t>
      </w:r>
      <w:r>
        <w:rPr>
          <w:rFonts w:hint="eastAsia"/>
        </w:rPr>
        <w:t>，适量增施钾肥，落叶前施用3次尿素，施肥应按NY/T 496的规定执行；</w:t>
      </w:r>
    </w:p>
    <w:p w14:paraId="1933BCD9">
      <w:pPr>
        <w:pStyle w:val="236"/>
      </w:pPr>
      <w:r>
        <w:rPr>
          <w:rFonts w:hint="eastAsia"/>
        </w:rPr>
        <w:t>（2）有浇水条件的果园要浇好萌芽水和封冻水，夏季干旱少雨年份也应根据旱情增加浇水次数；</w:t>
      </w:r>
    </w:p>
    <w:p w14:paraId="2228FF55">
      <w:pPr>
        <w:pStyle w:val="236"/>
      </w:pPr>
      <w:r>
        <w:rPr>
          <w:rFonts w:hint="eastAsia"/>
        </w:rPr>
        <w:t>（3）提倡生物覆盖、地膜覆盖树盘，减少地表水蒸发；</w:t>
      </w:r>
    </w:p>
    <w:p w14:paraId="22C6023A">
      <w:pPr>
        <w:pStyle w:val="236"/>
      </w:pPr>
      <w:r>
        <w:rPr>
          <w:rFonts w:hint="eastAsia"/>
        </w:rPr>
        <w:t>（4）在冬末的晴天进行科学整形修建，减少伤口、缩短伤口暴露期；</w:t>
      </w:r>
    </w:p>
    <w:p w14:paraId="73312A15">
      <w:pPr>
        <w:pStyle w:val="236"/>
      </w:pPr>
      <w:r>
        <w:rPr>
          <w:rFonts w:hint="eastAsia"/>
        </w:rPr>
        <w:t>（5）调整果树载果量，按照20cm左右距离留一枚果，树势衰弱则减少挂果量；</w:t>
      </w:r>
    </w:p>
    <w:p w14:paraId="7DFB8046">
      <w:pPr>
        <w:pStyle w:val="236"/>
      </w:pPr>
      <w:r>
        <w:rPr>
          <w:rFonts w:hint="eastAsia"/>
        </w:rPr>
        <w:t>（6）及时防治引起早期落叶的病虫害，避免大量早期落叶；</w:t>
      </w:r>
    </w:p>
    <w:p w14:paraId="16B94DFD">
      <w:pPr>
        <w:pStyle w:val="236"/>
      </w:pPr>
      <w:r>
        <w:rPr>
          <w:rFonts w:hint="eastAsia"/>
        </w:rPr>
        <w:t>（7）采取合理栽培模式，保证通风透光。</w:t>
      </w:r>
    </w:p>
    <w:p w14:paraId="0D9CAF8D">
      <w:pPr>
        <w:pStyle w:val="65"/>
        <w:spacing w:before="156" w:after="156"/>
      </w:pPr>
      <w:r>
        <w:rPr>
          <w:rFonts w:hint="eastAsia"/>
        </w:rPr>
        <w:t>桥接</w:t>
      </w:r>
    </w:p>
    <w:p w14:paraId="5D2AA664">
      <w:pPr>
        <w:pStyle w:val="236"/>
      </w:pPr>
      <w:r>
        <w:rPr>
          <w:rFonts w:hint="eastAsia"/>
        </w:rPr>
        <w:t>时间：春季4-5月份树皮容易剥开时进行。</w:t>
      </w:r>
    </w:p>
    <w:p w14:paraId="5742BB66">
      <w:pPr>
        <w:pStyle w:val="236"/>
      </w:pPr>
      <w:r>
        <w:rPr>
          <w:rFonts w:hint="eastAsia"/>
        </w:rPr>
        <w:t>方法：选择充实、健康、无分支的</w:t>
      </w:r>
      <w:r>
        <w:t>1</w:t>
      </w:r>
      <w:r>
        <w:rPr>
          <w:rFonts w:hint="eastAsia"/>
        </w:rPr>
        <w:t>～</w:t>
      </w:r>
      <w:r>
        <w:t>2</w:t>
      </w:r>
      <w:r>
        <w:rPr>
          <w:rFonts w:hint="eastAsia"/>
        </w:rPr>
        <w:t>年生营养枝作为接条。先在病斑的下部距病斑边缘10</w:t>
      </w:r>
      <w:r>
        <w:t>cm</w:t>
      </w:r>
      <w:r>
        <w:rPr>
          <w:rFonts w:hint="eastAsia"/>
        </w:rPr>
        <w:t>左右处，用利刀刻一“</w:t>
      </w:r>
      <w:r>
        <w:t>T</w:t>
      </w:r>
      <w:r>
        <w:rPr>
          <w:rFonts w:hint="eastAsia"/>
        </w:rPr>
        <w:t>”形切口，长</w:t>
      </w:r>
      <w:r>
        <w:t>3cm</w:t>
      </w:r>
      <w:r>
        <w:rPr>
          <w:rFonts w:hint="eastAsia"/>
        </w:rPr>
        <w:t>左右，深达木质部，再在病疤的上部距上边缘10</w:t>
      </w:r>
      <w:r>
        <w:t>cm</w:t>
      </w:r>
      <w:r>
        <w:rPr>
          <w:rFonts w:hint="eastAsia"/>
        </w:rPr>
        <w:t>左右处刻一同样大小倒“T”形切口。将接条截至所需长度，在接条的两端同一平面上，用利刀削成马耳形斜面，削面要光滑平整，长度与树上两个“</w:t>
      </w:r>
      <w:r>
        <w:t>T</w:t>
      </w:r>
      <w:r>
        <w:rPr>
          <w:rFonts w:hint="eastAsia"/>
        </w:rPr>
        <w:t>”形切口相同。将削好的接条插入树上的切口内，使接条和枝干的形成层紧贴在一起。插好后用小钉将接条与接口结合部位钉紧，然后涂接蜡封闭接口。主干上的病斑也可利用根蘖苗脚接。</w:t>
      </w:r>
    </w:p>
    <w:p w14:paraId="557BF24A">
      <w:pPr>
        <w:pStyle w:val="236"/>
      </w:pPr>
      <w:r>
        <w:rPr>
          <w:rFonts w:hint="eastAsia"/>
        </w:rPr>
        <w:t>注意事项：接条不可倒用，形成层贴紧后不可反复插进或左右移动。</w:t>
      </w:r>
    </w:p>
    <w:p w14:paraId="6B647C05">
      <w:pPr>
        <w:pStyle w:val="65"/>
        <w:spacing w:before="156" w:after="156"/>
      </w:pPr>
      <w:r>
        <w:rPr>
          <w:rFonts w:hint="eastAsia"/>
        </w:rPr>
        <w:t>重刮皮</w:t>
      </w:r>
    </w:p>
    <w:p w14:paraId="73371E0D">
      <w:pPr>
        <w:pStyle w:val="236"/>
      </w:pPr>
      <w:r>
        <w:rPr>
          <w:rFonts w:hint="eastAsia"/>
        </w:rPr>
        <w:t>时间：苹果生长期</w:t>
      </w:r>
    </w:p>
    <w:p w14:paraId="0D3B3320">
      <w:pPr>
        <w:pStyle w:val="236"/>
      </w:pPr>
      <w:r>
        <w:rPr>
          <w:rFonts w:hint="eastAsia"/>
        </w:rPr>
        <w:t>方法：将重病树体主干和部分中央领导干外皮层刮去，露出新鲜组织为止，遇到潜伏病斑要刮淨。</w:t>
      </w:r>
    </w:p>
    <w:p w14:paraId="14F0C093">
      <w:pPr>
        <w:pStyle w:val="236"/>
      </w:pPr>
      <w:r>
        <w:rPr>
          <w:rFonts w:hint="eastAsia"/>
        </w:rPr>
        <w:t>注意事项：重刮皮部位不能用手触摸，不能喷涂农药，以免影响新皮的形成。重刮皮前后要增施肥水，弱树不宜重刮皮。</w:t>
      </w:r>
    </w:p>
    <w:p w14:paraId="2E53AA97">
      <w:pPr>
        <w:pStyle w:val="105"/>
        <w:spacing w:before="156" w:after="156"/>
      </w:pPr>
      <w:bookmarkStart w:id="83" w:name="_Toc181030404"/>
      <w:r>
        <w:rPr>
          <w:rFonts w:hint="eastAsia"/>
        </w:rPr>
        <w:t>物理防治</w:t>
      </w:r>
      <w:bookmarkEnd w:id="83"/>
    </w:p>
    <w:p w14:paraId="227FBF5B">
      <w:pPr>
        <w:pStyle w:val="65"/>
        <w:spacing w:before="156" w:after="156"/>
      </w:pPr>
      <w:r>
        <w:rPr>
          <w:rFonts w:hint="eastAsia"/>
        </w:rPr>
        <w:t>树干涂白</w:t>
      </w:r>
    </w:p>
    <w:p w14:paraId="07430258">
      <w:pPr>
        <w:pStyle w:val="236"/>
      </w:pPr>
      <w:r>
        <w:rPr>
          <w:rFonts w:hint="eastAsia"/>
        </w:rPr>
        <w:t>落叶后树干涂白，防止冻害，常用涂白剂配方：</w:t>
      </w:r>
      <w:r>
        <w:t>水</w:t>
      </w:r>
      <w:r>
        <w:rPr>
          <w:rFonts w:hint="eastAsia"/>
        </w:rPr>
        <w:t>、</w:t>
      </w:r>
      <w:r>
        <w:t>生石灰</w:t>
      </w:r>
      <w:r>
        <w:rPr>
          <w:rFonts w:hint="eastAsia"/>
        </w:rPr>
        <w:t>、石硫合剂原液、</w:t>
      </w:r>
      <w:r>
        <w:t>食盐</w:t>
      </w:r>
      <w:r>
        <w:rPr>
          <w:rFonts w:hint="eastAsia"/>
        </w:rPr>
        <w:t>按照10：6：1：1的比例配置</w:t>
      </w:r>
      <w:r>
        <w:t>。</w:t>
      </w:r>
    </w:p>
    <w:p w14:paraId="7A2A4BCA">
      <w:pPr>
        <w:pStyle w:val="65"/>
        <w:spacing w:before="156" w:after="156"/>
      </w:pPr>
      <w:r>
        <w:rPr>
          <w:rFonts w:hint="eastAsia"/>
        </w:rPr>
        <w:t>剪锯口保护</w:t>
      </w:r>
    </w:p>
    <w:p w14:paraId="4F202912">
      <w:pPr>
        <w:pStyle w:val="236"/>
        <w:ind w:firstLineChars="0"/>
        <w:rPr>
          <w:rFonts w:hAnsi="宋体"/>
        </w:rPr>
      </w:pPr>
      <w:r>
        <w:rPr>
          <w:rFonts w:hint="eastAsia" w:hAnsi="宋体"/>
        </w:rPr>
        <w:t>因修剪造成的剪锯口必须及时涂药保护，可选用药剂及配比如下：</w:t>
      </w:r>
    </w:p>
    <w:p w14:paraId="225D9C83">
      <w:pPr>
        <w:pStyle w:val="236"/>
      </w:pPr>
      <w:r>
        <w:t>胶醋保护剂</w:t>
      </w:r>
      <w:r>
        <w:rPr>
          <w:rFonts w:hint="eastAsia"/>
        </w:rPr>
        <w:t>：</w:t>
      </w:r>
      <w:r>
        <w:t>白色乳胶漆</w:t>
      </w:r>
      <w:r>
        <w:rPr>
          <w:rFonts w:hint="eastAsia"/>
        </w:rPr>
        <w:t>、</w:t>
      </w:r>
      <w:r>
        <w:t>米醋</w:t>
      </w:r>
      <w:r>
        <w:rPr>
          <w:rFonts w:hint="eastAsia"/>
        </w:rPr>
        <w:t>以10：3</w:t>
      </w:r>
      <w:r>
        <w:t>混匀</w:t>
      </w:r>
      <w:r>
        <w:rPr>
          <w:rFonts w:hint="eastAsia"/>
        </w:rPr>
        <w:t>；</w:t>
      </w:r>
    </w:p>
    <w:p w14:paraId="5AEB058F">
      <w:pPr>
        <w:pStyle w:val="236"/>
      </w:pPr>
      <w:r>
        <w:t>液体接蜡</w:t>
      </w:r>
      <w:r>
        <w:rPr>
          <w:rFonts w:hint="eastAsia"/>
        </w:rPr>
        <w:t>：</w:t>
      </w:r>
      <w:r>
        <w:t>松香、动物油</w:t>
      </w:r>
      <w:r>
        <w:rPr>
          <w:rFonts w:hint="eastAsia"/>
        </w:rPr>
        <w:t>、</w:t>
      </w:r>
      <w:r>
        <w:t>酒精、松节油</w:t>
      </w:r>
      <w:r>
        <w:rPr>
          <w:rFonts w:hint="eastAsia"/>
        </w:rPr>
        <w:t>按照6：2：2：1混匀后用</w:t>
      </w:r>
      <w:r>
        <w:t>瓶子密封</w:t>
      </w:r>
      <w:r>
        <w:rPr>
          <w:rFonts w:hint="eastAsia"/>
        </w:rPr>
        <w:t>保存；</w:t>
      </w:r>
    </w:p>
    <w:p w14:paraId="37F95DE7">
      <w:pPr>
        <w:pStyle w:val="236"/>
      </w:pPr>
      <w:r>
        <w:t>豆油铜素剂</w:t>
      </w:r>
      <w:r>
        <w:rPr>
          <w:rFonts w:hint="eastAsia"/>
        </w:rPr>
        <w:t>：</w:t>
      </w:r>
      <w:r>
        <w:t>硫酸铜、熟石灰、豆油</w:t>
      </w:r>
      <w:r>
        <w:rPr>
          <w:rFonts w:hint="eastAsia"/>
        </w:rPr>
        <w:t>比例为1：1：1</w:t>
      </w:r>
      <w:r>
        <w:t>，把硫酸铜、熟石灰研成粉状，加入沸熟的豆油充分搅拌、冷却</w:t>
      </w:r>
      <w:r>
        <w:rPr>
          <w:rFonts w:hint="eastAsia"/>
        </w:rPr>
        <w:t>；</w:t>
      </w:r>
    </w:p>
    <w:p w14:paraId="3B2F18CE">
      <w:pPr>
        <w:pStyle w:val="236"/>
      </w:pPr>
      <w:r>
        <w:t>石灰盐保护剂</w:t>
      </w:r>
      <w:r>
        <w:rPr>
          <w:rFonts w:hint="eastAsia"/>
        </w:rPr>
        <w:t>：</w:t>
      </w:r>
      <w:r>
        <w:t>水</w:t>
      </w:r>
      <w:r>
        <w:rPr>
          <w:rFonts w:hint="eastAsia"/>
        </w:rPr>
        <w:t>、</w:t>
      </w:r>
      <w:r>
        <w:t>石灰</w:t>
      </w:r>
      <w:r>
        <w:rPr>
          <w:rFonts w:hint="eastAsia"/>
        </w:rPr>
        <w:t>、</w:t>
      </w:r>
      <w:r>
        <w:t>食盐</w:t>
      </w:r>
      <w:r>
        <w:rPr>
          <w:rFonts w:hint="eastAsia"/>
        </w:rPr>
        <w:t>比例4：4：1，另加少量草木灰及黄泥</w:t>
      </w:r>
      <w:r>
        <w:t>拌匀</w:t>
      </w:r>
      <w:r>
        <w:rPr>
          <w:rFonts w:hint="eastAsia"/>
        </w:rPr>
        <w:t>。</w:t>
      </w:r>
    </w:p>
    <w:p w14:paraId="0AB2F806">
      <w:pPr>
        <w:pStyle w:val="105"/>
        <w:spacing w:before="156" w:after="156"/>
      </w:pPr>
      <w:bookmarkStart w:id="84" w:name="_Toc180076461"/>
      <w:bookmarkStart w:id="85" w:name="_Toc181030405"/>
      <w:r>
        <w:rPr>
          <w:rFonts w:hint="eastAsia"/>
        </w:rPr>
        <w:t>生物防治</w:t>
      </w:r>
      <w:bookmarkEnd w:id="84"/>
      <w:bookmarkEnd w:id="85"/>
    </w:p>
    <w:p w14:paraId="7F25FCBD">
      <w:pPr>
        <w:pStyle w:val="236"/>
      </w:pPr>
      <w:r>
        <w:rPr>
          <w:rFonts w:hint="eastAsia"/>
        </w:rPr>
        <w:t>病斑刮除后涂抹生物制剂，随后用塑料膜完全包扎并于2周后解除塑料膜。可选用制剂有</w:t>
      </w:r>
      <w:r>
        <w:t>6%嘧啶核苷酸类抗菌素水剂</w:t>
      </w:r>
      <w:r>
        <w:rPr>
          <w:rFonts w:hint="eastAsia"/>
        </w:rPr>
        <w:t>15倍液、1×10</w:t>
      </w:r>
      <w:r>
        <w:rPr>
          <w:rFonts w:hint="eastAsia"/>
          <w:vertAlign w:val="superscript"/>
        </w:rPr>
        <w:t>6</w:t>
      </w:r>
      <w:r>
        <w:rPr>
          <w:rFonts w:hint="eastAsia"/>
        </w:rPr>
        <w:t>孢子/g寡雄腐霉制剂500倍液或1×10</w:t>
      </w:r>
      <w:r>
        <w:rPr>
          <w:rFonts w:hint="eastAsia"/>
          <w:vertAlign w:val="superscript"/>
        </w:rPr>
        <w:t>10</w:t>
      </w:r>
      <w:r>
        <w:rPr>
          <w:rFonts w:hint="eastAsia"/>
        </w:rPr>
        <w:t>孢子/g棘孢木霉菌制剂50倍液。</w:t>
      </w:r>
    </w:p>
    <w:p w14:paraId="36ED6182">
      <w:pPr>
        <w:pStyle w:val="105"/>
        <w:spacing w:before="156" w:after="156"/>
      </w:pPr>
      <w:bookmarkStart w:id="86" w:name="_Toc371262390"/>
      <w:bookmarkStart w:id="87" w:name="_Toc371262457"/>
      <w:bookmarkStart w:id="88" w:name="_Toc371262592"/>
      <w:bookmarkStart w:id="89" w:name="_Toc181030406"/>
      <w:bookmarkStart w:id="90" w:name="_Toc180076460"/>
      <w:bookmarkStart w:id="91" w:name="_Toc371261862"/>
      <w:r>
        <w:rPr>
          <w:rFonts w:hint="eastAsia"/>
        </w:rPr>
        <w:t>化学防治</w:t>
      </w:r>
      <w:bookmarkEnd w:id="86"/>
      <w:bookmarkEnd w:id="87"/>
      <w:bookmarkEnd w:id="88"/>
      <w:bookmarkEnd w:id="89"/>
      <w:bookmarkEnd w:id="90"/>
      <w:bookmarkEnd w:id="91"/>
    </w:p>
    <w:p w14:paraId="3E70A39B">
      <w:pPr>
        <w:pStyle w:val="65"/>
        <w:spacing w:before="156" w:after="156"/>
      </w:pPr>
      <w:r>
        <w:rPr>
          <w:rFonts w:hint="eastAsia"/>
        </w:rPr>
        <w:t>药剂选择原则</w:t>
      </w:r>
    </w:p>
    <w:p w14:paraId="724F361E">
      <w:pPr>
        <w:pStyle w:val="236"/>
      </w:pPr>
      <w:r>
        <w:rPr>
          <w:rFonts w:hint="eastAsia"/>
        </w:rPr>
        <w:t>农药及其使用应符合GB/T 8321（所有部分）和NY/T 1276的规定执行。</w:t>
      </w:r>
    </w:p>
    <w:p w14:paraId="2289F92E">
      <w:pPr>
        <w:pStyle w:val="65"/>
        <w:spacing w:before="156" w:after="156"/>
      </w:pPr>
      <w:r>
        <w:rPr>
          <w:rFonts w:hint="eastAsia"/>
        </w:rPr>
        <w:t>清除病菌</w:t>
      </w:r>
    </w:p>
    <w:p w14:paraId="05A56193">
      <w:pPr>
        <w:pStyle w:val="236"/>
        <w:rPr>
          <w:rFonts w:ascii="Times New Roman"/>
          <w:szCs w:val="21"/>
        </w:rPr>
      </w:pPr>
      <w:r>
        <w:rPr>
          <w:rFonts w:hint="eastAsia"/>
        </w:rPr>
        <w:t>发芽前或落叶后施药铲除树体表面菌原，可选药剂有</w:t>
      </w:r>
      <w:r>
        <w:rPr>
          <w:rFonts w:hint="eastAsia" w:ascii="Times New Roman"/>
          <w:szCs w:val="21"/>
        </w:rPr>
        <w:t>40%氟硅唑乳油4000倍液、45%丙环唑2000-3000倍液。</w:t>
      </w:r>
    </w:p>
    <w:p w14:paraId="559B0234">
      <w:pPr>
        <w:pStyle w:val="236"/>
        <w:rPr>
          <w:rFonts w:ascii="ABCDEE+����" w:hAnsi="ABCDEE+����" w:cs="ABCDEE+����"/>
          <w:szCs w:val="21"/>
        </w:rPr>
      </w:pPr>
      <w:r>
        <w:rPr>
          <w:rFonts w:hint="eastAsia" w:ascii="Times New Roman"/>
          <w:szCs w:val="21"/>
        </w:rPr>
        <w:t>果实膨大期淋刷树体主干大枝，可选药剂有戊唑醇、吡唑醚菌酯、苯醚甲环唑等，施用浓度为该农药建议浓度的10</w:t>
      </w:r>
      <w:r>
        <w:rPr>
          <w:rFonts w:hint="eastAsia"/>
        </w:rPr>
        <w:t>倍</w:t>
      </w:r>
      <w:r>
        <w:rPr>
          <w:rFonts w:hint="eastAsia" w:ascii="ABCDEE+����" w:hAnsi="ABCDEE+����" w:cs="ABCDEE+����"/>
          <w:szCs w:val="21"/>
        </w:rPr>
        <w:t>。</w:t>
      </w:r>
    </w:p>
    <w:p w14:paraId="384DD065">
      <w:pPr>
        <w:pStyle w:val="65"/>
        <w:spacing w:before="156" w:after="156"/>
      </w:pPr>
      <w:r>
        <w:rPr>
          <w:rFonts w:hint="eastAsia"/>
        </w:rPr>
        <w:t>病斑治疗</w:t>
      </w:r>
    </w:p>
    <w:p w14:paraId="0AFBF60F">
      <w:pPr>
        <w:pStyle w:val="236"/>
      </w:pPr>
      <w:r>
        <w:rPr>
          <w:rFonts w:hint="eastAsia"/>
        </w:rPr>
        <w:t>时间：定期</w:t>
      </w:r>
      <w:r>
        <w:t>检查树体，特别是早春和晚秋，发现病斑及时治刮治</w:t>
      </w:r>
      <w:r>
        <w:rPr>
          <w:rFonts w:hint="eastAsia"/>
        </w:rPr>
        <w:t>；</w:t>
      </w:r>
    </w:p>
    <w:p w14:paraId="5D6CBFF7">
      <w:pPr>
        <w:pStyle w:val="236"/>
        <w:rPr>
          <w:rFonts w:ascii="ABCDEE+����" w:hAnsi="ABCDEE+����" w:cs="ABCDEE+����"/>
          <w:szCs w:val="21"/>
        </w:rPr>
      </w:pPr>
      <w:r>
        <w:rPr>
          <w:rFonts w:hint="eastAsia"/>
        </w:rPr>
        <w:t>方法：用利刀将病斑及其周围</w:t>
      </w:r>
      <w:r>
        <w:t>0.5cm</w:t>
      </w:r>
      <w:r>
        <w:rPr>
          <w:rFonts w:hint="eastAsia"/>
        </w:rPr>
        <w:t>～</w:t>
      </w:r>
      <w:r>
        <w:t>1cm</w:t>
      </w:r>
      <w:r>
        <w:rPr>
          <w:rFonts w:hint="eastAsia"/>
        </w:rPr>
        <w:t>宽的健皮一起刮去，刀口光滑、梭形或椭圆形，上端和侧面留立茬，下端留斜茬然后涂</w:t>
      </w:r>
      <w:r>
        <w:t>1</w:t>
      </w:r>
      <w:r>
        <w:rPr>
          <w:rFonts w:hint="eastAsia"/>
        </w:rPr>
        <w:t>～</w:t>
      </w:r>
      <w:r>
        <w:t>2</w:t>
      </w:r>
      <w:r>
        <w:rPr>
          <w:rFonts w:hint="eastAsia"/>
        </w:rPr>
        <w:t>遍杀菌剂。</w:t>
      </w:r>
      <w:r>
        <w:t>常用杀菌剂有</w:t>
      </w:r>
      <w:r>
        <w:rPr>
          <w:rFonts w:hint="eastAsia"/>
        </w:rPr>
        <w:t>45%代森铵200倍液、5%菌毒清30倍液、过氧乙酸3～5倍液、843康复剂原液、4～5</w:t>
      </w:r>
      <w:r>
        <w:rPr>
          <w:rFonts w:ascii="Times New Roman"/>
          <w:szCs w:val="21"/>
        </w:rPr>
        <w:t>Be</w:t>
      </w:r>
      <w:r>
        <w:rPr>
          <w:rFonts w:hint="eastAsia"/>
        </w:rPr>
        <w:t>石硫合剂、500～600倍</w:t>
      </w:r>
      <w:r>
        <w:rPr>
          <w:rFonts w:ascii="ABCDEE+����" w:hAnsi="ABCDEE+����" w:cs="ABCDEE+����"/>
          <w:szCs w:val="21"/>
        </w:rPr>
        <w:t>丙环唑</w:t>
      </w:r>
      <w:r>
        <w:rPr>
          <w:rFonts w:hint="eastAsia"/>
        </w:rPr>
        <w:t>（该药于刮除病斑后第2～3天施用）</w:t>
      </w:r>
      <w:r>
        <w:rPr>
          <w:rFonts w:hint="eastAsia" w:ascii="ABCDEE+����" w:hAnsi="ABCDEE+����" w:cs="ABCDEE+����"/>
          <w:szCs w:val="21"/>
        </w:rPr>
        <w:t>等。</w:t>
      </w:r>
    </w:p>
    <w:p w14:paraId="6F0D906A">
      <w:pPr>
        <w:pStyle w:val="236"/>
      </w:pPr>
      <w:r>
        <w:rPr>
          <w:rFonts w:hint="eastAsia"/>
        </w:rPr>
        <w:t>注意事项：刮下的病皮必须清除，深理或销毁，不得随意丢弃，及时对刀具消毒</w:t>
      </w:r>
      <w:r>
        <w:t>。</w:t>
      </w:r>
    </w:p>
    <w:p w14:paraId="3A093657">
      <w:pPr>
        <w:pStyle w:val="104"/>
        <w:spacing w:before="312" w:after="312"/>
      </w:pPr>
      <w:bookmarkStart w:id="92" w:name="_Toc180397847"/>
      <w:bookmarkStart w:id="93" w:name="_Toc180397617"/>
      <w:bookmarkStart w:id="94" w:name="_Toc181030407"/>
      <w:r>
        <w:rPr>
          <w:rFonts w:hint="eastAsia"/>
        </w:rPr>
        <w:t>防治档案</w:t>
      </w:r>
      <w:bookmarkEnd w:id="92"/>
      <w:bookmarkEnd w:id="93"/>
      <w:bookmarkEnd w:id="94"/>
    </w:p>
    <w:p w14:paraId="0D25BFCC">
      <w:pPr>
        <w:pStyle w:val="236"/>
      </w:pPr>
      <w:r>
        <w:rPr>
          <w:rFonts w:hint="eastAsia"/>
        </w:rPr>
        <w:t>记录苹果腐烂病的发生时间、地点、危害程度、防控措施、药剂种类及浓度等，调查评估防治效果。记录内容见附录A。及时收集整理有关技术档案，归档保存。</w:t>
      </w:r>
    </w:p>
    <w:p w14:paraId="58A71B84">
      <w:pPr>
        <w:pStyle w:val="236"/>
      </w:pPr>
    </w:p>
    <w:p w14:paraId="7AA0470F">
      <w:pPr>
        <w:pStyle w:val="236"/>
      </w:pPr>
    </w:p>
    <w:p w14:paraId="3FDFE34E">
      <w:pPr>
        <w:pStyle w:val="236"/>
      </w:pPr>
    </w:p>
    <w:p w14:paraId="16AC7AB1">
      <w:pPr>
        <w:pStyle w:val="236"/>
      </w:pPr>
    </w:p>
    <w:p w14:paraId="19A37D46">
      <w:pPr>
        <w:pStyle w:val="56"/>
        <w:ind w:firstLine="420"/>
      </w:pPr>
    </w:p>
    <w:p w14:paraId="7AEF88F6">
      <w:pPr>
        <w:pStyle w:val="56"/>
        <w:ind w:firstLine="420"/>
      </w:pPr>
    </w:p>
    <w:p w14:paraId="4D96DE84">
      <w:pPr>
        <w:pStyle w:val="56"/>
        <w:ind w:firstLine="420"/>
      </w:pPr>
    </w:p>
    <w:p w14:paraId="79B470B5">
      <w:pPr>
        <w:pStyle w:val="56"/>
        <w:ind w:firstLine="420"/>
        <w:sectPr>
          <w:pgSz w:w="11906" w:h="16838"/>
          <w:pgMar w:top="567" w:right="1134" w:bottom="1134" w:left="1134" w:header="1418" w:footer="1134" w:gutter="284"/>
          <w:pgNumType w:start="1"/>
          <w:cols w:space="425" w:num="1"/>
          <w:formProt w:val="0"/>
          <w:docGrid w:type="lines" w:linePitch="312" w:charSpace="0"/>
        </w:sectPr>
      </w:pPr>
    </w:p>
    <w:bookmarkEnd w:id="24"/>
    <w:p w14:paraId="4F062DE2">
      <w:pPr>
        <w:pStyle w:val="198"/>
      </w:pPr>
      <w:bookmarkStart w:id="95" w:name="BookMark5"/>
    </w:p>
    <w:p w14:paraId="3BB35D74">
      <w:pPr>
        <w:pStyle w:val="199"/>
      </w:pPr>
    </w:p>
    <w:p w14:paraId="04F0F904">
      <w:pPr>
        <w:pStyle w:val="76"/>
        <w:spacing w:before="78" w:after="156"/>
      </w:pPr>
      <w:r>
        <w:br w:type="textWrapping"/>
      </w:r>
      <w:bookmarkStart w:id="96" w:name="_Toc181030408"/>
      <w:r>
        <w:rPr>
          <w:rFonts w:hint="eastAsia"/>
        </w:rPr>
        <w:t>（资料性）</w:t>
      </w:r>
      <w:r>
        <w:br w:type="textWrapping"/>
      </w:r>
      <w:r>
        <w:rPr>
          <w:rFonts w:hint="eastAsia"/>
        </w:rPr>
        <w:t>防治档案</w:t>
      </w:r>
      <w:bookmarkEnd w:id="96"/>
    </w:p>
    <w:p w14:paraId="233B66A1">
      <w:pPr>
        <w:pStyle w:val="77"/>
        <w:spacing w:before="156" w:after="156"/>
      </w:pPr>
      <w:r>
        <w:rPr>
          <w:rFonts w:hint="eastAsia"/>
        </w:rPr>
        <w:t>苹果腐烂病防治记录表</w:t>
      </w:r>
    </w:p>
    <w:tbl>
      <w:tblPr>
        <w:tblStyle w:val="26"/>
        <w:tblW w:w="0" w:type="auto"/>
        <w:tblInd w:w="-17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682"/>
        <w:gridCol w:w="682"/>
        <w:gridCol w:w="682"/>
        <w:gridCol w:w="682"/>
        <w:gridCol w:w="968"/>
        <w:gridCol w:w="683"/>
        <w:gridCol w:w="492"/>
        <w:gridCol w:w="683"/>
        <w:gridCol w:w="683"/>
        <w:gridCol w:w="683"/>
        <w:gridCol w:w="683"/>
        <w:gridCol w:w="683"/>
        <w:gridCol w:w="778"/>
      </w:tblGrid>
      <w:tr w14:paraId="1FD082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8" w:space="0"/>
            </w:tcBorders>
            <w:shd w:val="clear" w:color="auto" w:fill="auto"/>
            <w:vAlign w:val="center"/>
          </w:tcPr>
          <w:p w14:paraId="4176F6FC">
            <w:pPr>
              <w:jc w:val="center"/>
              <w:rPr>
                <w:rFonts w:ascii="宋体"/>
                <w:sz w:val="18"/>
              </w:rPr>
            </w:pPr>
            <w:r>
              <w:rPr>
                <w:rFonts w:hint="eastAsia" w:ascii="宋体"/>
                <w:sz w:val="18"/>
              </w:rPr>
              <w:t>发生时间</w:t>
            </w:r>
          </w:p>
        </w:tc>
        <w:tc>
          <w:tcPr>
            <w:tcW w:w="0" w:type="auto"/>
            <w:vMerge w:val="restart"/>
            <w:tcBorders>
              <w:top w:val="single" w:color="auto" w:sz="8" w:space="0"/>
            </w:tcBorders>
            <w:shd w:val="clear" w:color="auto" w:fill="auto"/>
            <w:vAlign w:val="center"/>
          </w:tcPr>
          <w:p w14:paraId="01EA5634">
            <w:pPr>
              <w:jc w:val="center"/>
              <w:rPr>
                <w:rFonts w:ascii="宋体"/>
                <w:sz w:val="18"/>
              </w:rPr>
            </w:pPr>
            <w:r>
              <w:rPr>
                <w:rFonts w:hint="eastAsia" w:ascii="宋体"/>
                <w:sz w:val="18"/>
              </w:rPr>
              <w:t>发生地点</w:t>
            </w:r>
          </w:p>
        </w:tc>
        <w:tc>
          <w:tcPr>
            <w:tcW w:w="0" w:type="auto"/>
            <w:vMerge w:val="restart"/>
            <w:tcBorders>
              <w:top w:val="single" w:color="auto" w:sz="8" w:space="0"/>
            </w:tcBorders>
            <w:shd w:val="clear" w:color="auto" w:fill="auto"/>
            <w:vAlign w:val="center"/>
          </w:tcPr>
          <w:p w14:paraId="5C60D718">
            <w:pPr>
              <w:jc w:val="center"/>
              <w:rPr>
                <w:rFonts w:ascii="宋体"/>
                <w:sz w:val="18"/>
              </w:rPr>
            </w:pPr>
            <w:r>
              <w:rPr>
                <w:rFonts w:hint="eastAsia" w:ascii="宋体"/>
                <w:sz w:val="18"/>
              </w:rPr>
              <w:t>危害程度</w:t>
            </w:r>
          </w:p>
        </w:tc>
        <w:tc>
          <w:tcPr>
            <w:tcW w:w="0" w:type="auto"/>
            <w:vMerge w:val="restart"/>
            <w:tcBorders>
              <w:top w:val="single" w:color="auto" w:sz="8" w:space="0"/>
            </w:tcBorders>
            <w:shd w:val="clear" w:color="auto" w:fill="auto"/>
            <w:vAlign w:val="center"/>
          </w:tcPr>
          <w:p w14:paraId="718A2D24">
            <w:pPr>
              <w:jc w:val="center"/>
              <w:rPr>
                <w:rFonts w:ascii="宋体"/>
                <w:sz w:val="18"/>
              </w:rPr>
            </w:pPr>
            <w:r>
              <w:rPr>
                <w:rFonts w:hint="eastAsia" w:ascii="宋体"/>
                <w:sz w:val="18"/>
              </w:rPr>
              <w:t>用药时间</w:t>
            </w:r>
          </w:p>
        </w:tc>
        <w:tc>
          <w:tcPr>
            <w:tcW w:w="0" w:type="auto"/>
            <w:gridSpan w:val="5"/>
            <w:tcBorders>
              <w:top w:val="single" w:color="auto" w:sz="8" w:space="0"/>
              <w:bottom w:val="single" w:color="auto" w:sz="8" w:space="0"/>
            </w:tcBorders>
            <w:shd w:val="clear" w:color="auto" w:fill="auto"/>
            <w:vAlign w:val="center"/>
          </w:tcPr>
          <w:p w14:paraId="1372555D">
            <w:pPr>
              <w:jc w:val="center"/>
              <w:rPr>
                <w:rFonts w:ascii="宋体"/>
                <w:sz w:val="18"/>
              </w:rPr>
            </w:pPr>
            <w:r>
              <w:rPr>
                <w:rFonts w:hint="eastAsia" w:ascii="宋体"/>
                <w:sz w:val="18"/>
              </w:rPr>
              <w:t>农药信息</w:t>
            </w:r>
          </w:p>
        </w:tc>
        <w:tc>
          <w:tcPr>
            <w:tcW w:w="0" w:type="auto"/>
            <w:gridSpan w:val="5"/>
            <w:tcBorders>
              <w:top w:val="single" w:color="auto" w:sz="8" w:space="0"/>
              <w:bottom w:val="single" w:color="auto" w:sz="8" w:space="0"/>
            </w:tcBorders>
            <w:shd w:val="clear" w:color="auto" w:fill="auto"/>
            <w:vAlign w:val="center"/>
          </w:tcPr>
          <w:p w14:paraId="59116127">
            <w:pPr>
              <w:jc w:val="center"/>
              <w:rPr>
                <w:rFonts w:ascii="宋体"/>
                <w:sz w:val="18"/>
              </w:rPr>
            </w:pPr>
            <w:r>
              <w:rPr>
                <w:rFonts w:hint="eastAsia" w:ascii="宋体"/>
                <w:sz w:val="18"/>
              </w:rPr>
              <w:t>农药使用</w:t>
            </w:r>
          </w:p>
        </w:tc>
      </w:tr>
      <w:tr w14:paraId="694BB6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14:paraId="65344683">
            <w:pPr>
              <w:jc w:val="center"/>
              <w:rPr>
                <w:rFonts w:ascii="宋体"/>
                <w:sz w:val="18"/>
              </w:rPr>
            </w:pPr>
          </w:p>
        </w:tc>
        <w:tc>
          <w:tcPr>
            <w:tcW w:w="0" w:type="auto"/>
            <w:vMerge w:val="continue"/>
            <w:shd w:val="clear" w:color="auto" w:fill="auto"/>
            <w:vAlign w:val="center"/>
          </w:tcPr>
          <w:p w14:paraId="77491738">
            <w:pPr>
              <w:jc w:val="center"/>
              <w:rPr>
                <w:rFonts w:ascii="宋体"/>
                <w:sz w:val="18"/>
              </w:rPr>
            </w:pPr>
          </w:p>
        </w:tc>
        <w:tc>
          <w:tcPr>
            <w:tcW w:w="0" w:type="auto"/>
            <w:vMerge w:val="continue"/>
            <w:shd w:val="clear" w:color="auto" w:fill="auto"/>
            <w:vAlign w:val="center"/>
          </w:tcPr>
          <w:p w14:paraId="26A7889A">
            <w:pPr>
              <w:jc w:val="center"/>
              <w:rPr>
                <w:rFonts w:ascii="宋体"/>
                <w:sz w:val="18"/>
              </w:rPr>
            </w:pPr>
          </w:p>
        </w:tc>
        <w:tc>
          <w:tcPr>
            <w:tcW w:w="0" w:type="auto"/>
            <w:vMerge w:val="continue"/>
            <w:shd w:val="clear" w:color="auto" w:fill="auto"/>
            <w:vAlign w:val="center"/>
          </w:tcPr>
          <w:p w14:paraId="2BBD6559">
            <w:pPr>
              <w:jc w:val="center"/>
              <w:rPr>
                <w:rFonts w:ascii="宋体"/>
                <w:sz w:val="18"/>
              </w:rPr>
            </w:pPr>
          </w:p>
        </w:tc>
        <w:tc>
          <w:tcPr>
            <w:tcW w:w="0" w:type="auto"/>
            <w:tcBorders>
              <w:top w:val="single" w:color="auto" w:sz="8" w:space="0"/>
            </w:tcBorders>
            <w:shd w:val="clear" w:color="auto" w:fill="auto"/>
            <w:vAlign w:val="center"/>
          </w:tcPr>
          <w:p w14:paraId="200D5442">
            <w:pPr>
              <w:jc w:val="center"/>
              <w:rPr>
                <w:rFonts w:ascii="宋体"/>
                <w:sz w:val="18"/>
              </w:rPr>
            </w:pPr>
            <w:r>
              <w:rPr>
                <w:rFonts w:hint="eastAsia" w:ascii="宋体"/>
                <w:sz w:val="18"/>
              </w:rPr>
              <w:t>农药名称</w:t>
            </w:r>
          </w:p>
        </w:tc>
        <w:tc>
          <w:tcPr>
            <w:tcW w:w="0" w:type="auto"/>
            <w:tcBorders>
              <w:top w:val="single" w:color="auto" w:sz="8" w:space="0"/>
            </w:tcBorders>
            <w:shd w:val="clear" w:color="auto" w:fill="auto"/>
            <w:vAlign w:val="center"/>
          </w:tcPr>
          <w:p w14:paraId="6A4528B2">
            <w:pPr>
              <w:jc w:val="center"/>
              <w:rPr>
                <w:rFonts w:ascii="宋体"/>
                <w:sz w:val="18"/>
              </w:rPr>
            </w:pPr>
            <w:r>
              <w:rPr>
                <w:rFonts w:hint="eastAsia" w:ascii="宋体"/>
                <w:sz w:val="18"/>
              </w:rPr>
              <w:t>有效成分及含量</w:t>
            </w:r>
          </w:p>
        </w:tc>
        <w:tc>
          <w:tcPr>
            <w:tcW w:w="0" w:type="auto"/>
            <w:tcBorders>
              <w:top w:val="single" w:color="auto" w:sz="8" w:space="0"/>
            </w:tcBorders>
            <w:shd w:val="clear" w:color="auto" w:fill="auto"/>
            <w:vAlign w:val="center"/>
          </w:tcPr>
          <w:p w14:paraId="5E7159DF">
            <w:pPr>
              <w:jc w:val="center"/>
              <w:rPr>
                <w:rFonts w:ascii="宋体"/>
                <w:sz w:val="18"/>
              </w:rPr>
            </w:pPr>
            <w:r>
              <w:rPr>
                <w:rFonts w:hint="eastAsia" w:ascii="宋体"/>
                <w:sz w:val="18"/>
              </w:rPr>
              <w:t>登记证号</w:t>
            </w:r>
          </w:p>
        </w:tc>
        <w:tc>
          <w:tcPr>
            <w:tcW w:w="0" w:type="auto"/>
            <w:tcBorders>
              <w:top w:val="single" w:color="auto" w:sz="8" w:space="0"/>
            </w:tcBorders>
            <w:shd w:val="clear" w:color="auto" w:fill="auto"/>
            <w:vAlign w:val="center"/>
          </w:tcPr>
          <w:p w14:paraId="0EB62038">
            <w:pPr>
              <w:jc w:val="center"/>
              <w:rPr>
                <w:rFonts w:ascii="宋体"/>
                <w:sz w:val="18"/>
              </w:rPr>
            </w:pPr>
            <w:r>
              <w:rPr>
                <w:rFonts w:hint="eastAsia" w:ascii="宋体"/>
                <w:sz w:val="18"/>
              </w:rPr>
              <w:t>规格</w:t>
            </w:r>
          </w:p>
        </w:tc>
        <w:tc>
          <w:tcPr>
            <w:tcW w:w="0" w:type="auto"/>
            <w:tcBorders>
              <w:top w:val="single" w:color="auto" w:sz="8" w:space="0"/>
            </w:tcBorders>
            <w:shd w:val="clear" w:color="auto" w:fill="auto"/>
            <w:vAlign w:val="center"/>
          </w:tcPr>
          <w:p w14:paraId="2F1DC4D0">
            <w:pPr>
              <w:jc w:val="center"/>
              <w:rPr>
                <w:rFonts w:ascii="宋体"/>
                <w:sz w:val="18"/>
              </w:rPr>
            </w:pPr>
            <w:r>
              <w:rPr>
                <w:rFonts w:hint="eastAsia" w:ascii="宋体"/>
                <w:sz w:val="18"/>
              </w:rPr>
              <w:t>采购数量</w:t>
            </w:r>
          </w:p>
        </w:tc>
        <w:tc>
          <w:tcPr>
            <w:tcW w:w="0" w:type="auto"/>
            <w:tcBorders>
              <w:top w:val="single" w:color="auto" w:sz="8" w:space="0"/>
            </w:tcBorders>
            <w:shd w:val="clear" w:color="auto" w:fill="auto"/>
            <w:vAlign w:val="center"/>
          </w:tcPr>
          <w:p w14:paraId="553AD676">
            <w:pPr>
              <w:jc w:val="center"/>
              <w:rPr>
                <w:rFonts w:ascii="宋体"/>
                <w:sz w:val="18"/>
              </w:rPr>
            </w:pPr>
            <w:r>
              <w:rPr>
                <w:rFonts w:hint="eastAsia" w:ascii="宋体"/>
                <w:sz w:val="18"/>
              </w:rPr>
              <w:t>防治对象</w:t>
            </w:r>
          </w:p>
        </w:tc>
        <w:tc>
          <w:tcPr>
            <w:tcW w:w="0" w:type="auto"/>
            <w:tcBorders>
              <w:top w:val="single" w:color="auto" w:sz="8" w:space="0"/>
            </w:tcBorders>
            <w:shd w:val="clear" w:color="auto" w:fill="auto"/>
            <w:vAlign w:val="center"/>
          </w:tcPr>
          <w:p w14:paraId="1A40E3BA">
            <w:pPr>
              <w:jc w:val="center"/>
              <w:rPr>
                <w:rFonts w:ascii="宋体"/>
                <w:sz w:val="18"/>
              </w:rPr>
            </w:pPr>
            <w:r>
              <w:rPr>
                <w:rFonts w:hint="eastAsia" w:ascii="宋体"/>
                <w:sz w:val="18"/>
              </w:rPr>
              <w:t>施用浓度</w:t>
            </w:r>
          </w:p>
        </w:tc>
        <w:tc>
          <w:tcPr>
            <w:tcW w:w="0" w:type="auto"/>
            <w:tcBorders>
              <w:top w:val="single" w:color="auto" w:sz="8" w:space="0"/>
            </w:tcBorders>
            <w:shd w:val="clear" w:color="auto" w:fill="auto"/>
            <w:vAlign w:val="center"/>
          </w:tcPr>
          <w:p w14:paraId="219B9004">
            <w:pPr>
              <w:jc w:val="center"/>
              <w:rPr>
                <w:rFonts w:ascii="宋体"/>
                <w:sz w:val="18"/>
              </w:rPr>
            </w:pPr>
            <w:r>
              <w:rPr>
                <w:rFonts w:hint="eastAsia" w:ascii="宋体"/>
                <w:sz w:val="18"/>
              </w:rPr>
              <w:t>施药方法</w:t>
            </w:r>
          </w:p>
        </w:tc>
        <w:tc>
          <w:tcPr>
            <w:tcW w:w="0" w:type="auto"/>
            <w:tcBorders>
              <w:top w:val="single" w:color="auto" w:sz="8" w:space="0"/>
            </w:tcBorders>
            <w:shd w:val="clear" w:color="auto" w:fill="auto"/>
            <w:vAlign w:val="center"/>
          </w:tcPr>
          <w:p w14:paraId="7753B68D">
            <w:pPr>
              <w:jc w:val="center"/>
              <w:rPr>
                <w:rFonts w:ascii="宋体"/>
                <w:sz w:val="18"/>
              </w:rPr>
            </w:pPr>
            <w:r>
              <w:rPr>
                <w:rFonts w:hint="eastAsia" w:ascii="宋体"/>
                <w:sz w:val="18"/>
              </w:rPr>
              <w:t>施药人员</w:t>
            </w:r>
          </w:p>
        </w:tc>
        <w:tc>
          <w:tcPr>
            <w:tcW w:w="0" w:type="auto"/>
            <w:tcBorders>
              <w:top w:val="single" w:color="auto" w:sz="8" w:space="0"/>
            </w:tcBorders>
            <w:shd w:val="clear" w:color="auto" w:fill="auto"/>
            <w:vAlign w:val="center"/>
          </w:tcPr>
          <w:p w14:paraId="53367396">
            <w:pPr>
              <w:jc w:val="center"/>
              <w:rPr>
                <w:rFonts w:ascii="宋体"/>
                <w:sz w:val="18"/>
              </w:rPr>
            </w:pPr>
            <w:r>
              <w:rPr>
                <w:rFonts w:hint="eastAsia" w:ascii="宋体"/>
                <w:sz w:val="18"/>
              </w:rPr>
              <w:t>技术负责人</w:t>
            </w:r>
          </w:p>
        </w:tc>
      </w:tr>
      <w:tr w14:paraId="57CB55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tcBorders>
              <w:bottom w:val="single" w:color="auto" w:sz="4" w:space="0"/>
            </w:tcBorders>
            <w:shd w:val="clear" w:color="auto" w:fill="auto"/>
            <w:vAlign w:val="center"/>
          </w:tcPr>
          <w:p w14:paraId="6C575FAB">
            <w:pPr>
              <w:jc w:val="center"/>
              <w:rPr>
                <w:rFonts w:ascii="宋体"/>
                <w:sz w:val="18"/>
              </w:rPr>
            </w:pPr>
          </w:p>
        </w:tc>
        <w:tc>
          <w:tcPr>
            <w:tcW w:w="0" w:type="auto"/>
            <w:tcBorders>
              <w:bottom w:val="single" w:color="auto" w:sz="4" w:space="0"/>
            </w:tcBorders>
            <w:shd w:val="clear" w:color="auto" w:fill="auto"/>
            <w:vAlign w:val="center"/>
          </w:tcPr>
          <w:p w14:paraId="39161AC1">
            <w:pPr>
              <w:jc w:val="center"/>
              <w:rPr>
                <w:rFonts w:ascii="宋体"/>
                <w:sz w:val="18"/>
              </w:rPr>
            </w:pPr>
          </w:p>
        </w:tc>
        <w:tc>
          <w:tcPr>
            <w:tcW w:w="0" w:type="auto"/>
            <w:tcBorders>
              <w:bottom w:val="single" w:color="auto" w:sz="4" w:space="0"/>
            </w:tcBorders>
            <w:shd w:val="clear" w:color="auto" w:fill="auto"/>
            <w:vAlign w:val="center"/>
          </w:tcPr>
          <w:p w14:paraId="08A0F5FA">
            <w:pPr>
              <w:jc w:val="center"/>
              <w:rPr>
                <w:rFonts w:ascii="宋体"/>
                <w:sz w:val="18"/>
              </w:rPr>
            </w:pPr>
          </w:p>
        </w:tc>
        <w:tc>
          <w:tcPr>
            <w:tcW w:w="0" w:type="auto"/>
            <w:tcBorders>
              <w:bottom w:val="single" w:color="auto" w:sz="4" w:space="0"/>
            </w:tcBorders>
            <w:shd w:val="clear" w:color="auto" w:fill="auto"/>
            <w:vAlign w:val="center"/>
          </w:tcPr>
          <w:p w14:paraId="59245E78">
            <w:pPr>
              <w:jc w:val="center"/>
              <w:rPr>
                <w:rFonts w:ascii="宋体"/>
                <w:sz w:val="18"/>
              </w:rPr>
            </w:pPr>
          </w:p>
        </w:tc>
        <w:tc>
          <w:tcPr>
            <w:tcW w:w="0" w:type="auto"/>
            <w:tcBorders>
              <w:bottom w:val="single" w:color="auto" w:sz="4" w:space="0"/>
            </w:tcBorders>
            <w:shd w:val="clear" w:color="auto" w:fill="auto"/>
            <w:vAlign w:val="center"/>
          </w:tcPr>
          <w:p w14:paraId="6C8954C4">
            <w:pPr>
              <w:jc w:val="center"/>
              <w:rPr>
                <w:rFonts w:ascii="宋体"/>
                <w:sz w:val="18"/>
              </w:rPr>
            </w:pPr>
          </w:p>
        </w:tc>
        <w:tc>
          <w:tcPr>
            <w:tcW w:w="0" w:type="auto"/>
            <w:tcBorders>
              <w:bottom w:val="single" w:color="auto" w:sz="4" w:space="0"/>
            </w:tcBorders>
            <w:shd w:val="clear" w:color="auto" w:fill="auto"/>
            <w:vAlign w:val="center"/>
          </w:tcPr>
          <w:p w14:paraId="61D6A848">
            <w:pPr>
              <w:jc w:val="center"/>
              <w:rPr>
                <w:rFonts w:ascii="宋体"/>
                <w:sz w:val="18"/>
              </w:rPr>
            </w:pPr>
          </w:p>
        </w:tc>
        <w:tc>
          <w:tcPr>
            <w:tcW w:w="0" w:type="auto"/>
            <w:tcBorders>
              <w:bottom w:val="single" w:color="auto" w:sz="4" w:space="0"/>
            </w:tcBorders>
            <w:shd w:val="clear" w:color="auto" w:fill="auto"/>
            <w:vAlign w:val="center"/>
          </w:tcPr>
          <w:p w14:paraId="0F433D56">
            <w:pPr>
              <w:jc w:val="center"/>
              <w:rPr>
                <w:rFonts w:ascii="宋体"/>
                <w:sz w:val="18"/>
              </w:rPr>
            </w:pPr>
          </w:p>
        </w:tc>
        <w:tc>
          <w:tcPr>
            <w:tcW w:w="0" w:type="auto"/>
            <w:tcBorders>
              <w:bottom w:val="single" w:color="auto" w:sz="4" w:space="0"/>
            </w:tcBorders>
            <w:shd w:val="clear" w:color="auto" w:fill="auto"/>
            <w:vAlign w:val="center"/>
          </w:tcPr>
          <w:p w14:paraId="2C8C1E7A">
            <w:pPr>
              <w:jc w:val="center"/>
              <w:rPr>
                <w:rFonts w:ascii="宋体"/>
                <w:sz w:val="18"/>
              </w:rPr>
            </w:pPr>
          </w:p>
        </w:tc>
        <w:tc>
          <w:tcPr>
            <w:tcW w:w="0" w:type="auto"/>
            <w:tcBorders>
              <w:bottom w:val="single" w:color="auto" w:sz="4" w:space="0"/>
            </w:tcBorders>
            <w:shd w:val="clear" w:color="auto" w:fill="auto"/>
            <w:vAlign w:val="center"/>
          </w:tcPr>
          <w:p w14:paraId="510466C2">
            <w:pPr>
              <w:jc w:val="center"/>
              <w:rPr>
                <w:rFonts w:ascii="宋体"/>
                <w:sz w:val="18"/>
              </w:rPr>
            </w:pPr>
          </w:p>
        </w:tc>
        <w:tc>
          <w:tcPr>
            <w:tcW w:w="0" w:type="auto"/>
            <w:tcBorders>
              <w:bottom w:val="single" w:color="auto" w:sz="4" w:space="0"/>
            </w:tcBorders>
            <w:shd w:val="clear" w:color="auto" w:fill="auto"/>
            <w:vAlign w:val="center"/>
          </w:tcPr>
          <w:p w14:paraId="10F85826">
            <w:pPr>
              <w:jc w:val="center"/>
              <w:rPr>
                <w:rFonts w:ascii="宋体"/>
                <w:sz w:val="18"/>
              </w:rPr>
            </w:pPr>
          </w:p>
        </w:tc>
        <w:tc>
          <w:tcPr>
            <w:tcW w:w="0" w:type="auto"/>
            <w:tcBorders>
              <w:bottom w:val="single" w:color="auto" w:sz="4" w:space="0"/>
            </w:tcBorders>
            <w:shd w:val="clear" w:color="auto" w:fill="auto"/>
            <w:vAlign w:val="center"/>
          </w:tcPr>
          <w:p w14:paraId="267A65E7">
            <w:pPr>
              <w:jc w:val="center"/>
              <w:rPr>
                <w:rFonts w:ascii="宋体"/>
                <w:sz w:val="18"/>
              </w:rPr>
            </w:pPr>
          </w:p>
        </w:tc>
        <w:tc>
          <w:tcPr>
            <w:tcW w:w="0" w:type="auto"/>
            <w:tcBorders>
              <w:bottom w:val="single" w:color="auto" w:sz="4" w:space="0"/>
            </w:tcBorders>
            <w:shd w:val="clear" w:color="auto" w:fill="auto"/>
            <w:vAlign w:val="center"/>
          </w:tcPr>
          <w:p w14:paraId="3BDD87D2">
            <w:pPr>
              <w:jc w:val="center"/>
              <w:rPr>
                <w:rFonts w:ascii="宋体"/>
                <w:sz w:val="18"/>
              </w:rPr>
            </w:pPr>
          </w:p>
        </w:tc>
        <w:tc>
          <w:tcPr>
            <w:tcW w:w="0" w:type="auto"/>
            <w:tcBorders>
              <w:bottom w:val="single" w:color="auto" w:sz="4" w:space="0"/>
            </w:tcBorders>
            <w:shd w:val="clear" w:color="auto" w:fill="auto"/>
            <w:vAlign w:val="center"/>
          </w:tcPr>
          <w:p w14:paraId="5A06C307">
            <w:pPr>
              <w:jc w:val="center"/>
              <w:rPr>
                <w:rFonts w:ascii="宋体"/>
                <w:sz w:val="18"/>
              </w:rPr>
            </w:pPr>
          </w:p>
        </w:tc>
        <w:tc>
          <w:tcPr>
            <w:tcW w:w="0" w:type="auto"/>
            <w:tcBorders>
              <w:bottom w:val="single" w:color="auto" w:sz="4" w:space="0"/>
            </w:tcBorders>
            <w:shd w:val="clear" w:color="auto" w:fill="auto"/>
            <w:vAlign w:val="center"/>
          </w:tcPr>
          <w:p w14:paraId="24A27F26">
            <w:pPr>
              <w:jc w:val="center"/>
              <w:rPr>
                <w:rFonts w:ascii="宋体"/>
                <w:sz w:val="18"/>
              </w:rPr>
            </w:pPr>
          </w:p>
        </w:tc>
      </w:tr>
      <w:tr w14:paraId="302A53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bottom w:val="single" w:color="auto" w:sz="8" w:space="0"/>
            </w:tcBorders>
            <w:shd w:val="clear" w:color="auto" w:fill="auto"/>
            <w:vAlign w:val="center"/>
          </w:tcPr>
          <w:p w14:paraId="1956D101">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28D98851">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26FD9356">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29F85F5A">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47FEF491">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7BF80A2A">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2CAA33E2">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3B687C5E">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1F04EC11">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405F8FA4">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09C140CD">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456CAF39">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5FCC591F">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193B37AB">
            <w:pPr>
              <w:jc w:val="center"/>
              <w:rPr>
                <w:rFonts w:ascii="宋体"/>
                <w:sz w:val="18"/>
              </w:rPr>
            </w:pPr>
          </w:p>
        </w:tc>
      </w:tr>
      <w:tr w14:paraId="64483B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bottom w:val="single" w:color="auto" w:sz="4" w:space="0"/>
            </w:tcBorders>
            <w:shd w:val="clear" w:color="auto" w:fill="auto"/>
            <w:vAlign w:val="center"/>
          </w:tcPr>
          <w:p w14:paraId="7EF33EE4">
            <w:pPr>
              <w:jc w:val="center"/>
              <w:rPr>
                <w:rFonts w:ascii="宋体"/>
                <w:sz w:val="18"/>
              </w:rPr>
            </w:pPr>
          </w:p>
        </w:tc>
        <w:tc>
          <w:tcPr>
            <w:tcW w:w="0" w:type="auto"/>
            <w:tcBorders>
              <w:top w:val="single" w:color="auto" w:sz="4" w:space="0"/>
              <w:bottom w:val="single" w:color="auto" w:sz="4" w:space="0"/>
            </w:tcBorders>
            <w:shd w:val="clear" w:color="auto" w:fill="auto"/>
            <w:vAlign w:val="center"/>
          </w:tcPr>
          <w:p w14:paraId="60AC53D2">
            <w:pPr>
              <w:jc w:val="center"/>
              <w:rPr>
                <w:rFonts w:ascii="宋体"/>
                <w:sz w:val="18"/>
              </w:rPr>
            </w:pPr>
          </w:p>
        </w:tc>
        <w:tc>
          <w:tcPr>
            <w:tcW w:w="0" w:type="auto"/>
            <w:tcBorders>
              <w:top w:val="single" w:color="auto" w:sz="4" w:space="0"/>
              <w:bottom w:val="single" w:color="auto" w:sz="4" w:space="0"/>
            </w:tcBorders>
            <w:shd w:val="clear" w:color="auto" w:fill="auto"/>
            <w:vAlign w:val="center"/>
          </w:tcPr>
          <w:p w14:paraId="3FE9A72D">
            <w:pPr>
              <w:jc w:val="center"/>
              <w:rPr>
                <w:rFonts w:ascii="宋体"/>
                <w:sz w:val="18"/>
              </w:rPr>
            </w:pPr>
          </w:p>
        </w:tc>
        <w:tc>
          <w:tcPr>
            <w:tcW w:w="0" w:type="auto"/>
            <w:tcBorders>
              <w:top w:val="single" w:color="auto" w:sz="4" w:space="0"/>
              <w:bottom w:val="single" w:color="auto" w:sz="4" w:space="0"/>
            </w:tcBorders>
            <w:shd w:val="clear" w:color="auto" w:fill="auto"/>
            <w:vAlign w:val="center"/>
          </w:tcPr>
          <w:p w14:paraId="7376B39E">
            <w:pPr>
              <w:jc w:val="center"/>
              <w:rPr>
                <w:rFonts w:ascii="宋体"/>
                <w:sz w:val="18"/>
              </w:rPr>
            </w:pPr>
          </w:p>
        </w:tc>
        <w:tc>
          <w:tcPr>
            <w:tcW w:w="0" w:type="auto"/>
            <w:tcBorders>
              <w:top w:val="single" w:color="auto" w:sz="4" w:space="0"/>
              <w:bottom w:val="single" w:color="auto" w:sz="4" w:space="0"/>
            </w:tcBorders>
            <w:shd w:val="clear" w:color="auto" w:fill="auto"/>
            <w:vAlign w:val="center"/>
          </w:tcPr>
          <w:p w14:paraId="38E6AECD">
            <w:pPr>
              <w:jc w:val="center"/>
              <w:rPr>
                <w:rFonts w:ascii="宋体"/>
                <w:sz w:val="18"/>
              </w:rPr>
            </w:pPr>
          </w:p>
        </w:tc>
        <w:tc>
          <w:tcPr>
            <w:tcW w:w="0" w:type="auto"/>
            <w:tcBorders>
              <w:top w:val="single" w:color="auto" w:sz="4" w:space="0"/>
              <w:bottom w:val="single" w:color="auto" w:sz="4" w:space="0"/>
            </w:tcBorders>
            <w:shd w:val="clear" w:color="auto" w:fill="auto"/>
            <w:vAlign w:val="center"/>
          </w:tcPr>
          <w:p w14:paraId="22101564">
            <w:pPr>
              <w:jc w:val="center"/>
              <w:rPr>
                <w:rFonts w:ascii="宋体"/>
                <w:sz w:val="18"/>
              </w:rPr>
            </w:pPr>
          </w:p>
        </w:tc>
        <w:tc>
          <w:tcPr>
            <w:tcW w:w="0" w:type="auto"/>
            <w:tcBorders>
              <w:top w:val="single" w:color="auto" w:sz="4" w:space="0"/>
              <w:bottom w:val="single" w:color="auto" w:sz="4" w:space="0"/>
            </w:tcBorders>
            <w:shd w:val="clear" w:color="auto" w:fill="auto"/>
            <w:vAlign w:val="center"/>
          </w:tcPr>
          <w:p w14:paraId="37A9542B">
            <w:pPr>
              <w:jc w:val="center"/>
              <w:rPr>
                <w:rFonts w:ascii="宋体"/>
                <w:sz w:val="18"/>
              </w:rPr>
            </w:pPr>
          </w:p>
        </w:tc>
        <w:tc>
          <w:tcPr>
            <w:tcW w:w="0" w:type="auto"/>
            <w:tcBorders>
              <w:top w:val="single" w:color="auto" w:sz="4" w:space="0"/>
              <w:bottom w:val="single" w:color="auto" w:sz="4" w:space="0"/>
            </w:tcBorders>
            <w:shd w:val="clear" w:color="auto" w:fill="auto"/>
            <w:vAlign w:val="center"/>
          </w:tcPr>
          <w:p w14:paraId="6F16E092">
            <w:pPr>
              <w:jc w:val="center"/>
              <w:rPr>
                <w:rFonts w:ascii="宋体"/>
                <w:sz w:val="18"/>
              </w:rPr>
            </w:pPr>
          </w:p>
        </w:tc>
        <w:tc>
          <w:tcPr>
            <w:tcW w:w="0" w:type="auto"/>
            <w:tcBorders>
              <w:top w:val="single" w:color="auto" w:sz="4" w:space="0"/>
              <w:bottom w:val="single" w:color="auto" w:sz="4" w:space="0"/>
            </w:tcBorders>
            <w:shd w:val="clear" w:color="auto" w:fill="auto"/>
            <w:vAlign w:val="center"/>
          </w:tcPr>
          <w:p w14:paraId="30DB75CF">
            <w:pPr>
              <w:jc w:val="center"/>
              <w:rPr>
                <w:rFonts w:ascii="宋体"/>
                <w:sz w:val="18"/>
              </w:rPr>
            </w:pPr>
          </w:p>
        </w:tc>
        <w:tc>
          <w:tcPr>
            <w:tcW w:w="0" w:type="auto"/>
            <w:tcBorders>
              <w:top w:val="single" w:color="auto" w:sz="4" w:space="0"/>
              <w:bottom w:val="single" w:color="auto" w:sz="4" w:space="0"/>
            </w:tcBorders>
            <w:shd w:val="clear" w:color="auto" w:fill="auto"/>
            <w:vAlign w:val="center"/>
          </w:tcPr>
          <w:p w14:paraId="240F17EE">
            <w:pPr>
              <w:jc w:val="center"/>
              <w:rPr>
                <w:rFonts w:ascii="宋体"/>
                <w:sz w:val="18"/>
              </w:rPr>
            </w:pPr>
          </w:p>
        </w:tc>
        <w:tc>
          <w:tcPr>
            <w:tcW w:w="0" w:type="auto"/>
            <w:tcBorders>
              <w:top w:val="single" w:color="auto" w:sz="4" w:space="0"/>
              <w:bottom w:val="single" w:color="auto" w:sz="4" w:space="0"/>
            </w:tcBorders>
            <w:shd w:val="clear" w:color="auto" w:fill="auto"/>
            <w:vAlign w:val="center"/>
          </w:tcPr>
          <w:p w14:paraId="0E248EDF">
            <w:pPr>
              <w:jc w:val="center"/>
              <w:rPr>
                <w:rFonts w:ascii="宋体"/>
                <w:sz w:val="18"/>
              </w:rPr>
            </w:pPr>
          </w:p>
        </w:tc>
        <w:tc>
          <w:tcPr>
            <w:tcW w:w="0" w:type="auto"/>
            <w:tcBorders>
              <w:top w:val="single" w:color="auto" w:sz="4" w:space="0"/>
              <w:bottom w:val="single" w:color="auto" w:sz="4" w:space="0"/>
            </w:tcBorders>
            <w:shd w:val="clear" w:color="auto" w:fill="auto"/>
            <w:vAlign w:val="center"/>
          </w:tcPr>
          <w:p w14:paraId="7D6A21C8">
            <w:pPr>
              <w:jc w:val="center"/>
              <w:rPr>
                <w:rFonts w:ascii="宋体"/>
                <w:sz w:val="18"/>
              </w:rPr>
            </w:pPr>
          </w:p>
        </w:tc>
        <w:tc>
          <w:tcPr>
            <w:tcW w:w="0" w:type="auto"/>
            <w:tcBorders>
              <w:top w:val="single" w:color="auto" w:sz="4" w:space="0"/>
              <w:bottom w:val="single" w:color="auto" w:sz="4" w:space="0"/>
            </w:tcBorders>
            <w:shd w:val="clear" w:color="auto" w:fill="auto"/>
            <w:vAlign w:val="center"/>
          </w:tcPr>
          <w:p w14:paraId="6CFDE111">
            <w:pPr>
              <w:jc w:val="center"/>
              <w:rPr>
                <w:rFonts w:ascii="宋体"/>
                <w:sz w:val="18"/>
              </w:rPr>
            </w:pPr>
          </w:p>
        </w:tc>
        <w:tc>
          <w:tcPr>
            <w:tcW w:w="0" w:type="auto"/>
            <w:tcBorders>
              <w:top w:val="single" w:color="auto" w:sz="4" w:space="0"/>
              <w:bottom w:val="single" w:color="auto" w:sz="4" w:space="0"/>
            </w:tcBorders>
            <w:shd w:val="clear" w:color="auto" w:fill="auto"/>
            <w:vAlign w:val="center"/>
          </w:tcPr>
          <w:p w14:paraId="11A543F7">
            <w:pPr>
              <w:jc w:val="center"/>
              <w:rPr>
                <w:rFonts w:ascii="宋体"/>
                <w:sz w:val="18"/>
              </w:rPr>
            </w:pPr>
          </w:p>
        </w:tc>
      </w:tr>
      <w:tr w14:paraId="4ECA16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bottom w:val="single" w:color="auto" w:sz="8" w:space="0"/>
            </w:tcBorders>
            <w:shd w:val="clear" w:color="auto" w:fill="auto"/>
            <w:vAlign w:val="center"/>
          </w:tcPr>
          <w:p w14:paraId="26B7F7E1">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607BCE9C">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0F3E07BA">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53FA1A19">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72F506F2">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3D3C9723">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4E8250BA">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1103D4BE">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194A3306">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48CAD592">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7361D78C">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3B742A5B">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27538936">
            <w:pPr>
              <w:jc w:val="center"/>
              <w:rPr>
                <w:rFonts w:ascii="宋体"/>
                <w:sz w:val="18"/>
              </w:rPr>
            </w:pPr>
          </w:p>
        </w:tc>
        <w:tc>
          <w:tcPr>
            <w:tcW w:w="0" w:type="auto"/>
            <w:tcBorders>
              <w:top w:val="single" w:color="auto" w:sz="4" w:space="0"/>
              <w:bottom w:val="single" w:color="auto" w:sz="8" w:space="0"/>
            </w:tcBorders>
            <w:shd w:val="clear" w:color="auto" w:fill="auto"/>
            <w:vAlign w:val="center"/>
          </w:tcPr>
          <w:p w14:paraId="11385A27">
            <w:pPr>
              <w:jc w:val="center"/>
              <w:rPr>
                <w:rFonts w:ascii="宋体"/>
                <w:sz w:val="18"/>
              </w:rPr>
            </w:pPr>
          </w:p>
        </w:tc>
      </w:tr>
    </w:tbl>
    <w:p w14:paraId="5EC89A05">
      <w:pPr>
        <w:pStyle w:val="56"/>
        <w:ind w:firstLine="420"/>
      </w:pPr>
    </w:p>
    <w:p w14:paraId="4E7CF125">
      <w:pPr>
        <w:pStyle w:val="56"/>
        <w:ind w:firstLine="420"/>
      </w:pPr>
    </w:p>
    <w:p w14:paraId="08E46971">
      <w:pPr>
        <w:pStyle w:val="56"/>
        <w:ind w:firstLine="420"/>
      </w:pPr>
    </w:p>
    <w:p w14:paraId="59D5087D">
      <w:pPr>
        <w:pStyle w:val="56"/>
        <w:ind w:firstLine="420"/>
      </w:pPr>
    </w:p>
    <w:bookmarkEnd w:id="95"/>
    <w:p w14:paraId="64FA2E61">
      <w:pPr>
        <w:pStyle w:val="56"/>
        <w:ind w:firstLine="0" w:firstLineChars="0"/>
        <w:jc w:val="center"/>
      </w:pPr>
      <w:bookmarkStart w:id="97"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7"/>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BCDEE+����">
    <w:altName w:val="Segoe Print"/>
    <w:panose1 w:val="00000000000000000000"/>
    <w:charset w:val="00"/>
    <w:family w:val="auto"/>
    <w:pitch w:val="default"/>
    <w:sig w:usb0="00000000" w:usb1="00000000" w:usb2="01010101" w:usb3="01010101" w:csb0="01010101" w:csb1="01010101"/>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D6243">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431B4">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BED07">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1567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20BB0">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55E61">
    <w:pPr>
      <w:pStyle w:val="61"/>
    </w:pPr>
    <w:r>
      <w:fldChar w:fldCharType="begin"/>
    </w:r>
    <w:r>
      <w:instrText xml:space="preserve"> STYLEREF  标准文件_文件编号  \* MERGEFORMAT </w:instrText>
    </w:r>
    <w:r>
      <w:fldChar w:fldCharType="separate"/>
    </w:r>
    <w:r>
      <w:t>DB 14/T T799—2024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8CD17">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14/T T799—2024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2"/>
      <w:suff w:val="nothing"/>
      <w:lvlText w:val="%1.%2.%3　"/>
      <w:lvlJc w:val="left"/>
      <w:pPr>
        <w:ind w:left="0" w:firstLine="0"/>
      </w:pPr>
      <w:rPr>
        <w:rFonts w:hint="eastAsia" w:ascii="黑体" w:hAnsi="Times New Roman" w:eastAsia="黑体"/>
        <w:b w:val="0"/>
        <w:i w:val="0"/>
        <w:sz w:val="21"/>
      </w:rPr>
    </w:lvl>
    <w:lvl w:ilvl="3" w:tentative="0">
      <w:start w:val="1"/>
      <w:numFmt w:val="decimal"/>
      <w:pStyle w:val="233"/>
      <w:suff w:val="nothing"/>
      <w:lvlText w:val="%1.%2.%3.%4　"/>
      <w:lvlJc w:val="left"/>
      <w:pPr>
        <w:ind w:left="0" w:firstLine="0"/>
      </w:pPr>
      <w:rPr>
        <w:rFonts w:hint="eastAsia" w:ascii="黑体" w:hAnsi="Times New Roman" w:eastAsia="黑体"/>
        <w:b w:val="0"/>
        <w:i w:val="0"/>
        <w:sz w:val="21"/>
      </w:rPr>
    </w:lvl>
    <w:lvl w:ilvl="4" w:tentative="0">
      <w:start w:val="1"/>
      <w:numFmt w:val="decimal"/>
      <w:pStyle w:val="234"/>
      <w:suff w:val="nothing"/>
      <w:lvlText w:val="%1.%2.%3.%4.%5　"/>
      <w:lvlJc w:val="left"/>
      <w:pPr>
        <w:ind w:left="0" w:firstLine="0"/>
      </w:pPr>
      <w:rPr>
        <w:rFonts w:hint="eastAsia" w:ascii="黑体" w:hAnsi="Times New Roman" w:eastAsia="黑体"/>
        <w:b w:val="0"/>
        <w:i w:val="0"/>
        <w:sz w:val="21"/>
      </w:rPr>
    </w:lvl>
    <w:lvl w:ilvl="5" w:tentative="0">
      <w:start w:val="1"/>
      <w:numFmt w:val="decimal"/>
      <w:pStyle w:val="23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otSW4JqdRyURjAo2p4A8YD4md3iflJGd1fRw20SVdwkH3Qen6GwzvgljPWVTJt8407dG1hcgThjSME6njFgolQ==" w:salt="Iizr3SEH9EHDezXuAeaND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2ZjgyMGVmMWEyN2IyOWQwOGVjYjEyNzJiNGZhNzUifQ=="/>
  </w:docVars>
  <w:rsids>
    <w:rsidRoot w:val="00007746"/>
    <w:rsid w:val="0000040A"/>
    <w:rsid w:val="00000A94"/>
    <w:rsid w:val="00001972"/>
    <w:rsid w:val="00001D9A"/>
    <w:rsid w:val="00007746"/>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43"/>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0CF"/>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0C3A"/>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7CE5"/>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C38"/>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6830"/>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50788"/>
    <w:rsid w:val="0D5B61C8"/>
    <w:rsid w:val="19231383"/>
    <w:rsid w:val="79EE1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一级条标题"/>
    <w:next w:val="1"/>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1">
    <w:name w:val="章标题"/>
    <w:next w:val="1"/>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2">
    <w:name w:val="二级条标题"/>
    <w:basedOn w:val="230"/>
    <w:next w:val="1"/>
    <w:qFormat/>
    <w:uiPriority w:val="0"/>
    <w:pPr>
      <w:numPr>
        <w:ilvl w:val="2"/>
      </w:numPr>
      <w:spacing w:before="50" w:after="50"/>
      <w:outlineLvl w:val="3"/>
    </w:pPr>
  </w:style>
  <w:style w:type="paragraph" w:customStyle="1" w:styleId="233">
    <w:name w:val="三级条标题"/>
    <w:basedOn w:val="232"/>
    <w:next w:val="1"/>
    <w:qFormat/>
    <w:uiPriority w:val="0"/>
    <w:pPr>
      <w:numPr>
        <w:ilvl w:val="3"/>
      </w:numPr>
      <w:outlineLvl w:val="4"/>
    </w:pPr>
  </w:style>
  <w:style w:type="paragraph" w:customStyle="1" w:styleId="234">
    <w:name w:val="四级条标题"/>
    <w:basedOn w:val="233"/>
    <w:next w:val="1"/>
    <w:qFormat/>
    <w:uiPriority w:val="0"/>
    <w:pPr>
      <w:numPr>
        <w:ilvl w:val="4"/>
      </w:numPr>
      <w:outlineLvl w:val="5"/>
    </w:pPr>
  </w:style>
  <w:style w:type="paragraph" w:customStyle="1" w:styleId="235">
    <w:name w:val="五级条标题"/>
    <w:basedOn w:val="234"/>
    <w:next w:val="1"/>
    <w:qFormat/>
    <w:uiPriority w:val="0"/>
    <w:pPr>
      <w:numPr>
        <w:ilvl w:val="5"/>
      </w:numPr>
      <w:outlineLvl w:val="6"/>
    </w:pPr>
  </w:style>
  <w:style w:type="paragraph" w:customStyle="1" w:styleId="236">
    <w:name w:val="段"/>
    <w:link w:val="23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7">
    <w:name w:val="段 Char"/>
    <w:basedOn w:val="28"/>
    <w:link w:val="236"/>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4C3D33C05F244D59ACE727C12C523EB"/>
        <w:style w:val=""/>
        <w:category>
          <w:name w:val="常规"/>
          <w:gallery w:val="placeholder"/>
        </w:category>
        <w:types>
          <w:type w:val="bbPlcHdr"/>
        </w:types>
        <w:behaviors>
          <w:behavior w:val="content"/>
        </w:behaviors>
        <w:description w:val=""/>
        <w:guid w:val="{8473AC56-CD9B-4DA4-8072-A27EE4C84623}"/>
      </w:docPartPr>
      <w:docPartBody>
        <w:p w14:paraId="79396282">
          <w:pPr>
            <w:pStyle w:val="5"/>
          </w:pPr>
          <w:r>
            <w:rPr>
              <w:rStyle w:val="4"/>
              <w:rFonts w:hint="eastAsia"/>
            </w:rPr>
            <w:t>单击或点击此处输入文字。</w:t>
          </w:r>
        </w:p>
      </w:docPartBody>
    </w:docPart>
    <w:docPart>
      <w:docPartPr>
        <w:name w:val="46C299BC4E3945089C0A27482C56889B"/>
        <w:style w:val=""/>
        <w:category>
          <w:name w:val="常规"/>
          <w:gallery w:val="placeholder"/>
        </w:category>
        <w:types>
          <w:type w:val="bbPlcHdr"/>
        </w:types>
        <w:behaviors>
          <w:behavior w:val="content"/>
        </w:behaviors>
        <w:description w:val=""/>
        <w:guid w:val="{00825DF6-FDC8-4BCF-A424-7CD7F794CDFD}"/>
      </w:docPartPr>
      <w:docPartBody>
        <w:p w14:paraId="4075C9FD">
          <w:pPr>
            <w:pStyle w:val="6"/>
          </w:pPr>
          <w:r>
            <w:rPr>
              <w:rStyle w:val="4"/>
              <w:rFonts w:hint="eastAsia"/>
            </w:rPr>
            <w:t>选择一项。</w:t>
          </w:r>
        </w:p>
      </w:docPartBody>
    </w:docPart>
    <w:docPart>
      <w:docPartPr>
        <w:name w:val="A8FEC7BA86114445BCE138C104AB3C19"/>
        <w:style w:val=""/>
        <w:category>
          <w:name w:val="常规"/>
          <w:gallery w:val="placeholder"/>
        </w:category>
        <w:types>
          <w:type w:val="bbPlcHdr"/>
        </w:types>
        <w:behaviors>
          <w:behavior w:val="content"/>
        </w:behaviors>
        <w:description w:val=""/>
        <w:guid w:val="{68F8D361-04D1-4AC8-AA83-C16F04672832}"/>
      </w:docPartPr>
      <w:docPartBody>
        <w:p w14:paraId="67AC4A8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5C3"/>
    <w:rsid w:val="002E519B"/>
    <w:rsid w:val="0037399B"/>
    <w:rsid w:val="00E53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D4C3D33C05F244D59ACE727C12C523E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6C299BC4E3945089C0A27482C56889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8FEC7BA86114445BCE138C104AB3C1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DFDD2D-8CE6-4442-A768-7C0958C4303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2907</Words>
  <Characters>3178</Characters>
  <Lines>440</Lines>
  <Paragraphs>395</Paragraphs>
  <TotalTime>24</TotalTime>
  <ScaleCrop>false</ScaleCrop>
  <LinksUpToDate>false</LinksUpToDate>
  <CharactersWithSpaces>3240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2024-10-28T09:34:00Z</dcterms:created>
  <dc:creator>Z-LL</dc:creator>
  <dc:description>&lt;config cover="true" show_menu="true" version="1.0.0" doctype="SDKXY"&gt;_x000d_
&lt;/config&gt;</dc:description>
  <cp:lastModifiedBy>H</cp:lastModifiedBy>
  <cp:lastPrinted>2020-08-30T10:00:00Z</cp:lastPrinted>
  <dcterms:modified xsi:type="dcterms:W3CDTF">2024-11-06T09:51:06Z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944F4EC3008544F4B029E15520D651DD_12</vt:lpwstr>
  </property>
</Properties>
</file>